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D1E4DD" w14:textId="77777777" w:rsidR="00BA62DB" w:rsidRPr="00CF35EE" w:rsidRDefault="00BA62DB" w:rsidP="00913210">
      <w:pPr>
        <w:pStyle w:val="Default"/>
        <w:rPr>
          <w:rFonts w:ascii="Times New Roman" w:hAnsi="Times New Roman" w:cs="Times New Roman"/>
          <w:color w:val="000000" w:themeColor="text1"/>
        </w:rPr>
      </w:pPr>
    </w:p>
    <w:p w14:paraId="4AFF797E" w14:textId="10CC00E3" w:rsidR="007341FC" w:rsidRPr="00BE5F5A" w:rsidRDefault="00464E85" w:rsidP="008A5C4A">
      <w:pPr>
        <w:pStyle w:val="Default"/>
        <w:rPr>
          <w:rFonts w:ascii="Times New Roman" w:hAnsi="Times New Roman" w:cs="Times New Roman"/>
          <w:bCs/>
          <w:color w:val="000000" w:themeColor="text1"/>
          <w:lang w:val="ru-RU"/>
        </w:rPr>
      </w:pPr>
      <w:r w:rsidRPr="00BE5F5A">
        <w:rPr>
          <w:rStyle w:val="Strong"/>
          <w:rFonts w:ascii="Times New Roman" w:hAnsi="Times New Roman" w:cs="Times New Roman"/>
          <w:b w:val="0"/>
          <w:lang w:val="ru-RU"/>
        </w:rPr>
        <w:t xml:space="preserve">1. </w:t>
      </w:r>
      <w:r w:rsidR="00BE5F5A" w:rsidRPr="00BE5F5A">
        <w:rPr>
          <w:rStyle w:val="Strong"/>
          <w:rFonts w:ascii="Times New Roman" w:hAnsi="Times New Roman" w:cs="Times New Roman"/>
          <w:b w:val="0"/>
          <w:lang w:val="ru-RU"/>
        </w:rPr>
        <w:t>Функциональные требования к центру мониторинга</w:t>
      </w:r>
      <w:r w:rsidRPr="00BE5F5A">
        <w:rPr>
          <w:rFonts w:ascii="Times New Roman" w:hAnsi="Times New Roman" w:cs="Times New Roman"/>
          <w:lang w:val="ru-RU"/>
        </w:rPr>
        <w:br/>
      </w:r>
      <w:r w:rsidRPr="00BE5F5A">
        <w:rPr>
          <w:rStyle w:val="Strong"/>
          <w:rFonts w:ascii="Times New Roman" w:hAnsi="Times New Roman" w:cs="Times New Roman"/>
          <w:b w:val="0"/>
          <w:lang w:val="ru-RU"/>
        </w:rPr>
        <w:t xml:space="preserve">1.1. </w:t>
      </w:r>
      <w:r w:rsidR="00BE5F5A" w:rsidRPr="00BE5F5A">
        <w:rPr>
          <w:rStyle w:val="Strong"/>
          <w:rFonts w:ascii="Times New Roman" w:hAnsi="Times New Roman" w:cs="Times New Roman"/>
          <w:b w:val="0"/>
          <w:lang w:val="ru-RU"/>
        </w:rPr>
        <w:t>Индикаторы игровой активности, события и инциденты</w:t>
      </w:r>
    </w:p>
    <w:p w14:paraId="16EDDD10" w14:textId="77777777" w:rsidR="00DA1F43" w:rsidRPr="00BE5F5A" w:rsidRDefault="00DA1F43" w:rsidP="00DA1F43">
      <w:pPr>
        <w:pStyle w:val="Default"/>
        <w:ind w:left="720"/>
        <w:rPr>
          <w:rFonts w:ascii="Times New Roman" w:hAnsi="Times New Roman" w:cs="Times New Roman"/>
          <w:bCs/>
          <w:color w:val="000000" w:themeColor="text1"/>
          <w:lang w:val="ru-RU"/>
        </w:rPr>
      </w:pPr>
    </w:p>
    <w:tbl>
      <w:tblPr>
        <w:tblW w:w="9592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8224"/>
      </w:tblGrid>
      <w:tr w:rsidR="00464E85" w:rsidRPr="00CF35EE" w14:paraId="100E6311" w14:textId="77777777" w:rsidTr="0069119C">
        <w:trPr>
          <w:trHeight w:val="150"/>
        </w:trPr>
        <w:tc>
          <w:tcPr>
            <w:tcW w:w="1368" w:type="dxa"/>
            <w:shd w:val="clear" w:color="auto" w:fill="BFBFBF" w:themeFill="background1" w:themeFillShade="BF"/>
          </w:tcPr>
          <w:p w14:paraId="3E46740C" w14:textId="3877DCDF" w:rsidR="00464E85" w:rsidRPr="00CF35EE" w:rsidRDefault="00BE5F5A" w:rsidP="00464E85">
            <w:pPr>
              <w:pStyle w:val="Default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ru-RU"/>
              </w:rPr>
              <w:t>Номер</w:t>
            </w:r>
            <w:r w:rsidR="00464E85" w:rsidRPr="00CF35EE">
              <w:rPr>
                <w:rFonts w:ascii="Times New Roman" w:hAnsi="Times New Roman" w:cs="Times New Roman"/>
              </w:rPr>
              <w:t xml:space="preserve"> | </w:t>
            </w:r>
          </w:p>
        </w:tc>
        <w:tc>
          <w:tcPr>
            <w:tcW w:w="8224" w:type="dxa"/>
            <w:shd w:val="clear" w:color="auto" w:fill="BFBFBF" w:themeFill="background1" w:themeFillShade="BF"/>
          </w:tcPr>
          <w:p w14:paraId="2FDEC3E8" w14:textId="4C8D7CA0" w:rsidR="00464E85" w:rsidRPr="00CF35EE" w:rsidRDefault="00464E85" w:rsidP="00464E85">
            <w:pPr>
              <w:pStyle w:val="Defaul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3298E" w:rsidRPr="00CF35EE">
              <w:rPr>
                <w:rFonts w:ascii="Times New Roman" w:hAnsi="Times New Roman" w:cs="Times New Roman"/>
              </w:rPr>
              <w:t>Описание</w:t>
            </w:r>
            <w:proofErr w:type="spellEnd"/>
            <w:r w:rsidR="0033298E" w:rsidRPr="00CF35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3298E" w:rsidRPr="00CF35EE">
              <w:rPr>
                <w:rFonts w:ascii="Times New Roman" w:hAnsi="Times New Roman" w:cs="Times New Roman"/>
              </w:rPr>
              <w:t>технических</w:t>
            </w:r>
            <w:proofErr w:type="spellEnd"/>
            <w:r w:rsidR="0033298E" w:rsidRPr="00CF35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3298E" w:rsidRPr="00CF35EE">
              <w:rPr>
                <w:rFonts w:ascii="Times New Roman" w:hAnsi="Times New Roman" w:cs="Times New Roman"/>
              </w:rPr>
              <w:t>требований</w:t>
            </w:r>
            <w:proofErr w:type="spellEnd"/>
          </w:p>
        </w:tc>
      </w:tr>
      <w:tr w:rsidR="00BA62DB" w:rsidRPr="006F319C" w14:paraId="2A8E2A41" w14:textId="77777777" w:rsidTr="0069119C">
        <w:trPr>
          <w:trHeight w:val="897"/>
        </w:trPr>
        <w:tc>
          <w:tcPr>
            <w:tcW w:w="1368" w:type="dxa"/>
          </w:tcPr>
          <w:p w14:paraId="12FB371B" w14:textId="77777777" w:rsidR="00DA1F43" w:rsidRPr="00CF35EE" w:rsidRDefault="00DA1F43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A7DB590" w14:textId="0F5AD05F" w:rsidR="00DA1F43" w:rsidRPr="00CF35EE" w:rsidRDefault="00AA6329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  <w:p w14:paraId="53AB3C57" w14:textId="77777777" w:rsidR="00DA1F43" w:rsidRPr="00CF35EE" w:rsidRDefault="00DA1F43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224" w:type="dxa"/>
          </w:tcPr>
          <w:p w14:paraId="6B36A613" w14:textId="1F0BC45A" w:rsidR="00CB63A0" w:rsidRPr="00CF35EE" w:rsidRDefault="0033298E" w:rsidP="003F77B0">
            <w:pPr>
              <w:pStyle w:val="NormalWeb"/>
              <w:jc w:val="both"/>
              <w:rPr>
                <w:color w:val="000000" w:themeColor="text1"/>
                <w:lang w:val="ru-RU"/>
              </w:rPr>
            </w:pPr>
            <w:r w:rsidRPr="00CF35EE">
              <w:rPr>
                <w:lang w:val="ru-RU"/>
              </w:rPr>
              <w:t>Компания, созданная участником тендера, признанным победителем тендера на регулирование игровой деятельности (далее именуемая «Поставщик услуг»), будет собирать и обрабатывать данные с игровых устройств и связанных с ними систем, включая, помимо прочего, в соответствии с возможностями соответствующих сторонних систем: суммы ставок во время игры, суммы выигрышей, общее количество сыгранных игр, общие потери, выплаты джекпотов, тип игрового устройства и рабочее состояние устройства.</w:t>
            </w:r>
          </w:p>
        </w:tc>
      </w:tr>
      <w:tr w:rsidR="00C22A5E" w:rsidRPr="00CF35EE" w14:paraId="5A96A76E" w14:textId="77777777" w:rsidTr="00F9186F">
        <w:trPr>
          <w:trHeight w:val="2285"/>
        </w:trPr>
        <w:tc>
          <w:tcPr>
            <w:tcW w:w="1368" w:type="dxa"/>
          </w:tcPr>
          <w:p w14:paraId="275DE5DC" w14:textId="1EB8B724" w:rsidR="00C22A5E" w:rsidRPr="00CF35EE" w:rsidRDefault="00C22A5E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8224" w:type="dxa"/>
          </w:tcPr>
          <w:p w14:paraId="5847EE87" w14:textId="5E27ADB2" w:rsidR="00C22A5E" w:rsidRPr="00CF35EE" w:rsidRDefault="00651AC4" w:rsidP="00447111">
            <w:pPr>
              <w:pStyle w:val="NormalWeb"/>
              <w:jc w:val="both"/>
              <w:rPr>
                <w:color w:val="000000" w:themeColor="text1"/>
              </w:rPr>
            </w:pPr>
            <w:r w:rsidRPr="00CF35EE">
              <w:rPr>
                <w:lang w:val="ru-RU"/>
              </w:rPr>
              <w:t>Поставщик услуг будет собирать и обрабатывать данные с онлайн-игровых платформ, включая, помимо прочего, данные, поддерживаемые возможностями соответствующих сторонних систем: суммы ставок, суммы выигрышей, чистый результат, название (и версия, если таковая имеется), ожидаемый и фактический процент возврата игроку (</w:t>
            </w:r>
            <w:r w:rsidRPr="00CF35EE">
              <w:t>RTP</w:t>
            </w:r>
            <w:r w:rsidRPr="00CF35EE">
              <w:rPr>
                <w:lang w:val="ru-RU"/>
              </w:rPr>
              <w:t xml:space="preserve">), использование бонусов или бесплатных игр, выплаты джекпотов и, если таковая имеется, тип устройства, используемого игроком. </w:t>
            </w:r>
            <w:proofErr w:type="spellStart"/>
            <w:r w:rsidRPr="00CF35EE">
              <w:t>Частота</w:t>
            </w:r>
            <w:proofErr w:type="spellEnd"/>
            <w:r w:rsidRPr="00CF35EE">
              <w:t xml:space="preserve"> </w:t>
            </w:r>
            <w:proofErr w:type="spellStart"/>
            <w:r w:rsidRPr="00CF35EE">
              <w:t>сбора</w:t>
            </w:r>
            <w:proofErr w:type="spellEnd"/>
            <w:r w:rsidRPr="00CF35EE">
              <w:t xml:space="preserve"> и </w:t>
            </w:r>
            <w:proofErr w:type="spellStart"/>
            <w:r w:rsidRPr="00CF35EE">
              <w:t>расчета</w:t>
            </w:r>
            <w:proofErr w:type="spellEnd"/>
            <w:r w:rsidRPr="00CF35EE">
              <w:t xml:space="preserve"> RTP </w:t>
            </w:r>
            <w:proofErr w:type="spellStart"/>
            <w:r w:rsidRPr="00CF35EE">
              <w:t>будет</w:t>
            </w:r>
            <w:proofErr w:type="spellEnd"/>
            <w:r w:rsidRPr="00CF35EE">
              <w:t xml:space="preserve"> </w:t>
            </w:r>
            <w:proofErr w:type="spellStart"/>
            <w:r w:rsidRPr="00CF35EE">
              <w:t>согласована</w:t>
            </w:r>
            <w:proofErr w:type="spellEnd"/>
            <w:r w:rsidRPr="00CF35EE">
              <w:t xml:space="preserve"> </w:t>
            </w:r>
            <w:proofErr w:type="spellStart"/>
            <w:r w:rsidRPr="00CF35EE">
              <w:t>сторонами</w:t>
            </w:r>
            <w:proofErr w:type="spellEnd"/>
            <w:r w:rsidRPr="00CF35EE">
              <w:t>.</w:t>
            </w:r>
          </w:p>
        </w:tc>
      </w:tr>
      <w:tr w:rsidR="00C22A5E" w:rsidRPr="006F319C" w14:paraId="0CEDBEAC" w14:textId="77777777" w:rsidTr="0069119C">
        <w:trPr>
          <w:trHeight w:val="897"/>
        </w:trPr>
        <w:tc>
          <w:tcPr>
            <w:tcW w:w="1368" w:type="dxa"/>
          </w:tcPr>
          <w:p w14:paraId="576D9F43" w14:textId="08B3D887" w:rsidR="00C22A5E" w:rsidRPr="00CF35EE" w:rsidRDefault="00C22A5E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8224" w:type="dxa"/>
          </w:tcPr>
          <w:p w14:paraId="2383A8C1" w14:textId="005068AE" w:rsidR="00C22A5E" w:rsidRPr="00CF35EE" w:rsidRDefault="00B42407" w:rsidP="00447111">
            <w:pPr>
              <w:pStyle w:val="NormalWeb"/>
              <w:jc w:val="both"/>
              <w:rPr>
                <w:color w:val="000000" w:themeColor="text1"/>
                <w:lang w:val="ru-RU"/>
              </w:rPr>
            </w:pPr>
            <w:r w:rsidRPr="00CF35EE">
              <w:rPr>
                <w:lang w:val="ru-RU"/>
              </w:rPr>
              <w:t>Поставщик услуг должен собирать и обрабатывать данные из систем ставок на спорт и тотализаторов, включая, помимо прочего, в соответствии с возможностями соответствующих сторонних систем: номер ставки, сумму ставки, окончательный результат, суммы выплат, аннулированные или отмененные ставки, скорректированные или перерасчетные ставки и суммы вывода средств, а также чистый доход от азартных игр по каждому событию или рынку ставок.</w:t>
            </w:r>
          </w:p>
        </w:tc>
      </w:tr>
      <w:tr w:rsidR="00C22A5E" w:rsidRPr="006F319C" w14:paraId="7DBE3DC7" w14:textId="77777777" w:rsidTr="0069119C">
        <w:trPr>
          <w:trHeight w:val="897"/>
        </w:trPr>
        <w:tc>
          <w:tcPr>
            <w:tcW w:w="1368" w:type="dxa"/>
          </w:tcPr>
          <w:p w14:paraId="02377FE8" w14:textId="31E1AF50" w:rsidR="00C22A5E" w:rsidRPr="00CF35EE" w:rsidRDefault="00C22A5E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</w:p>
        </w:tc>
        <w:tc>
          <w:tcPr>
            <w:tcW w:w="8224" w:type="dxa"/>
          </w:tcPr>
          <w:p w14:paraId="26329657" w14:textId="6FF437C1" w:rsidR="00C22A5E" w:rsidRPr="00CF35EE" w:rsidRDefault="000F11F7" w:rsidP="00447111">
            <w:pPr>
              <w:pStyle w:val="NormalWeb"/>
              <w:jc w:val="both"/>
              <w:rPr>
                <w:color w:val="000000" w:themeColor="text1"/>
                <w:lang w:val="ru-RU"/>
              </w:rPr>
            </w:pPr>
            <w:r w:rsidRPr="00CF35EE">
              <w:rPr>
                <w:lang w:val="ru-RU"/>
              </w:rPr>
              <w:t>Поставщик услуг обязан собирать и обрабатывать информацию обо всех финансовых операциях по счетам игроков, включая, помимо прочего: депозиты, внесенные игроками, запрошенные или осуществленные снятия средств, бонусные средства, добавленные на счета, и любые корректировки, внесенные оператором.</w:t>
            </w:r>
          </w:p>
        </w:tc>
      </w:tr>
      <w:tr w:rsidR="00BA62DB" w:rsidRPr="006F319C" w14:paraId="7E72AE4F" w14:textId="77777777" w:rsidTr="0069119C">
        <w:trPr>
          <w:trHeight w:val="897"/>
        </w:trPr>
        <w:tc>
          <w:tcPr>
            <w:tcW w:w="1368" w:type="dxa"/>
          </w:tcPr>
          <w:p w14:paraId="7E056F59" w14:textId="539E5577" w:rsidR="00DA1F43" w:rsidRPr="00CF35EE" w:rsidRDefault="007341FC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5</w:t>
            </w:r>
          </w:p>
          <w:p w14:paraId="318DA989" w14:textId="77777777" w:rsidR="00DA1F43" w:rsidRPr="00CF35EE" w:rsidRDefault="00DA1F43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224" w:type="dxa"/>
          </w:tcPr>
          <w:p w14:paraId="22ADBE85" w14:textId="313228A3" w:rsidR="00DA1F43" w:rsidRPr="00CF35EE" w:rsidRDefault="000F11F7" w:rsidP="0044711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>Поставщик услуг обязан собирать и обрабатывать в режиме реального времени события онлайн-игр, связанные с активностью игроков, включая, помимо прочего, в соответствии с возможностями соответствующих сторонних систем: момент размещения или расчета ставки, момент использования бонуса или бесплатной игры, момент выигрыша джекпота.</w:t>
            </w:r>
          </w:p>
        </w:tc>
      </w:tr>
      <w:tr w:rsidR="00BA62DB" w:rsidRPr="006F319C" w14:paraId="7BE5F663" w14:textId="77777777" w:rsidTr="0069119C">
        <w:trPr>
          <w:trHeight w:val="897"/>
        </w:trPr>
        <w:tc>
          <w:tcPr>
            <w:tcW w:w="1368" w:type="dxa"/>
          </w:tcPr>
          <w:p w14:paraId="43BA21FE" w14:textId="03B6A478" w:rsidR="00C22A5E" w:rsidRPr="00CF35EE" w:rsidRDefault="007341FC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6</w:t>
            </w:r>
          </w:p>
        </w:tc>
        <w:tc>
          <w:tcPr>
            <w:tcW w:w="8224" w:type="dxa"/>
          </w:tcPr>
          <w:p w14:paraId="56B6F44C" w14:textId="6D0CA9AD" w:rsidR="00C22A5E" w:rsidRPr="00CF35EE" w:rsidRDefault="00CF35EE" w:rsidP="0044711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>Поставщик услуг обязан собирать и обрабатывать в режиме реального времени все события, связанные с проведением каждой игры, включая, помимо прочего: начало или окончание игры или игрового раунда, а также обнаружение любых отклонений от ожидаемого результата игры.</w:t>
            </w:r>
          </w:p>
        </w:tc>
      </w:tr>
      <w:tr w:rsidR="00C22A5E" w:rsidRPr="006F319C" w14:paraId="073BC885" w14:textId="77777777" w:rsidTr="0069119C">
        <w:trPr>
          <w:trHeight w:val="897"/>
        </w:trPr>
        <w:tc>
          <w:tcPr>
            <w:tcW w:w="1368" w:type="dxa"/>
          </w:tcPr>
          <w:p w14:paraId="5ED1E04A" w14:textId="404F209E" w:rsidR="00C22A5E" w:rsidRPr="00CF35EE" w:rsidRDefault="007341FC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</w:p>
        </w:tc>
        <w:tc>
          <w:tcPr>
            <w:tcW w:w="8224" w:type="dxa"/>
          </w:tcPr>
          <w:p w14:paraId="34965B5D" w14:textId="22FB4E0D" w:rsidR="00C22A5E" w:rsidRPr="00CF35EE" w:rsidRDefault="00CF35EE" w:rsidP="0044711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 xml:space="preserve">Поставщик услуг обязан собирать и обрабатывать в режиме реального времени все события, связанные с физическими игровыми устройствами, включая, помимо прочего, в соответствии с возможностями соответствующих сторонних систем: включение или выключение игрового устройства, </w:t>
            </w:r>
            <w:r w:rsidRPr="00CF35EE">
              <w:rPr>
                <w:rFonts w:ascii="Times New Roman" w:hAnsi="Times New Roman" w:cs="Times New Roman"/>
                <w:lang w:val="ru-RU"/>
              </w:rPr>
              <w:lastRenderedPageBreak/>
              <w:t>возникновение неисправности, обнаружение попытки вмешательства в работу устройства или мошенничества, а также потеря или восстановление связи.</w:t>
            </w:r>
          </w:p>
        </w:tc>
      </w:tr>
      <w:tr w:rsidR="00BA62DB" w:rsidRPr="006F319C" w14:paraId="400D7DEA" w14:textId="77777777" w:rsidTr="0069119C">
        <w:trPr>
          <w:trHeight w:val="897"/>
        </w:trPr>
        <w:tc>
          <w:tcPr>
            <w:tcW w:w="1368" w:type="dxa"/>
          </w:tcPr>
          <w:p w14:paraId="38C339DE" w14:textId="0064017F" w:rsidR="00C22A5E" w:rsidRPr="00CF35EE" w:rsidRDefault="007341FC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8</w:t>
            </w:r>
          </w:p>
        </w:tc>
        <w:tc>
          <w:tcPr>
            <w:tcW w:w="8224" w:type="dxa"/>
          </w:tcPr>
          <w:p w14:paraId="348FD968" w14:textId="756C2471" w:rsidR="00C22A5E" w:rsidRPr="00CF35EE" w:rsidRDefault="00CF35EE" w:rsidP="0044711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 xml:space="preserve">Поставщик услуг обязан собирать и обрабатывать в режиме реального времени все события, связанные с работой систем оператора, включая, помимо прочего: неудачные попытки передачи данных (транзакционные или периодические данные, которые, как ожидается, должны быть получены от </w:t>
            </w:r>
            <w:r w:rsidRPr="00CF35EE">
              <w:rPr>
                <w:rFonts w:ascii="Times New Roman" w:hAnsi="Times New Roman" w:cs="Times New Roman"/>
              </w:rPr>
              <w:t>CMS</w:t>
            </w:r>
            <w:r w:rsidRPr="00CF35EE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CF35EE">
              <w:rPr>
                <w:rFonts w:ascii="Times New Roman" w:hAnsi="Times New Roman" w:cs="Times New Roman"/>
              </w:rPr>
              <w:t>iGP</w:t>
            </w:r>
            <w:proofErr w:type="spellEnd"/>
            <w:r w:rsidRPr="00CF35EE">
              <w:rPr>
                <w:rFonts w:ascii="Times New Roman" w:hAnsi="Times New Roman" w:cs="Times New Roman"/>
                <w:lang w:val="ru-RU"/>
              </w:rPr>
              <w:t xml:space="preserve"> или </w:t>
            </w:r>
            <w:r w:rsidRPr="00CF35EE">
              <w:rPr>
                <w:rFonts w:ascii="Times New Roman" w:hAnsi="Times New Roman" w:cs="Times New Roman"/>
              </w:rPr>
              <w:t>SBP</w:t>
            </w:r>
            <w:r w:rsidRPr="00CF35EE">
              <w:rPr>
                <w:rFonts w:ascii="Times New Roman" w:hAnsi="Times New Roman" w:cs="Times New Roman"/>
                <w:lang w:val="ru-RU"/>
              </w:rPr>
              <w:t>, но не отправляются), длительные периоды отсутствия связи, а также любые сбои в проверках качества данных или проверки достоверности данных.</w:t>
            </w:r>
          </w:p>
        </w:tc>
      </w:tr>
      <w:tr w:rsidR="00BA62DB" w:rsidRPr="006F319C" w14:paraId="1025974F" w14:textId="77777777" w:rsidTr="0069119C">
        <w:trPr>
          <w:trHeight w:val="897"/>
        </w:trPr>
        <w:tc>
          <w:tcPr>
            <w:tcW w:w="1368" w:type="dxa"/>
          </w:tcPr>
          <w:p w14:paraId="775E8C51" w14:textId="51C45798" w:rsidR="00C22A5E" w:rsidRPr="00CF35EE" w:rsidRDefault="007341FC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9</w:t>
            </w:r>
          </w:p>
        </w:tc>
        <w:tc>
          <w:tcPr>
            <w:tcW w:w="8224" w:type="dxa"/>
          </w:tcPr>
          <w:p w14:paraId="013A015B" w14:textId="67984140" w:rsidR="00C22A5E" w:rsidRPr="00CF35EE" w:rsidRDefault="00CF35EE" w:rsidP="00447111">
            <w:pPr>
              <w:pStyle w:val="NormalWeb"/>
              <w:jc w:val="both"/>
              <w:rPr>
                <w:color w:val="000000" w:themeColor="text1"/>
                <w:lang w:val="ru-RU"/>
              </w:rPr>
            </w:pPr>
            <w:r w:rsidRPr="00CF35EE">
              <w:rPr>
                <w:lang w:val="ru-RU"/>
              </w:rPr>
              <w:t>Поставщик услуг обязан собирать и обрабатывать в режиме реального времени все финансовые события, которые могут повлиять на доход от азартных игр, включая, помимо прочего: выигрыши, выплаченные вручную, рекламные бонусы, выигрыши джекпотов.</w:t>
            </w:r>
          </w:p>
        </w:tc>
      </w:tr>
      <w:tr w:rsidR="003F77B0" w:rsidRPr="006F319C" w14:paraId="55C16D00" w14:textId="77777777" w:rsidTr="0069119C">
        <w:trPr>
          <w:trHeight w:val="897"/>
        </w:trPr>
        <w:tc>
          <w:tcPr>
            <w:tcW w:w="1368" w:type="dxa"/>
          </w:tcPr>
          <w:p w14:paraId="651E26D2" w14:textId="29AF8966" w:rsidR="003F77B0" w:rsidRPr="00CF35EE" w:rsidRDefault="003F77B0" w:rsidP="003F77B0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10</w:t>
            </w:r>
          </w:p>
          <w:p w14:paraId="50C43C13" w14:textId="77777777" w:rsidR="003F77B0" w:rsidRPr="00CF35EE" w:rsidRDefault="003F77B0" w:rsidP="003F77B0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224" w:type="dxa"/>
          </w:tcPr>
          <w:p w14:paraId="1341936D" w14:textId="6085736A" w:rsidR="003F77B0" w:rsidRPr="00CF35EE" w:rsidRDefault="00CF35EE" w:rsidP="003F77B0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>Поставщик услуг обязан выявлять и классифицировать критические инциденты, включая, помимо прочего, в соответствии с возможностями соответствующих сторонних систем: мошенничество, повторные неудачные транзакции, длительный период бездействия, значительные отклонения в проценте возврата игроку (</w:t>
            </w:r>
            <w:r w:rsidRPr="00CF35EE">
              <w:rPr>
                <w:rFonts w:ascii="Times New Roman" w:hAnsi="Times New Roman" w:cs="Times New Roman"/>
              </w:rPr>
              <w:t>RTP</w:t>
            </w:r>
            <w:r w:rsidRPr="00CF35EE">
              <w:rPr>
                <w:rFonts w:ascii="Times New Roman" w:hAnsi="Times New Roman" w:cs="Times New Roman"/>
                <w:lang w:val="ru-RU"/>
              </w:rPr>
              <w:t>), сбои в работе джекпота (при наличии такой возможности).</w:t>
            </w:r>
          </w:p>
        </w:tc>
      </w:tr>
      <w:tr w:rsidR="003F77B0" w:rsidRPr="006F319C" w14:paraId="22E2CBA3" w14:textId="77777777" w:rsidTr="0069119C">
        <w:trPr>
          <w:trHeight w:val="897"/>
        </w:trPr>
        <w:tc>
          <w:tcPr>
            <w:tcW w:w="1368" w:type="dxa"/>
          </w:tcPr>
          <w:p w14:paraId="2D15177C" w14:textId="1C2BABD8" w:rsidR="003F77B0" w:rsidRPr="00CF35EE" w:rsidRDefault="003F77B0" w:rsidP="003F77B0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11</w:t>
            </w:r>
          </w:p>
        </w:tc>
        <w:tc>
          <w:tcPr>
            <w:tcW w:w="8224" w:type="dxa"/>
          </w:tcPr>
          <w:p w14:paraId="1D32C8D7" w14:textId="7E378E5C" w:rsidR="003F77B0" w:rsidRPr="00CF35EE" w:rsidRDefault="00CF35EE" w:rsidP="003F77B0">
            <w:pPr>
              <w:pStyle w:val="NormalWeb"/>
              <w:jc w:val="both"/>
              <w:rPr>
                <w:color w:val="000000" w:themeColor="text1"/>
                <w:lang w:val="ru-RU"/>
              </w:rPr>
            </w:pPr>
            <w:r w:rsidRPr="00CF35EE">
              <w:rPr>
                <w:lang w:val="ru-RU"/>
              </w:rPr>
              <w:t>Поставщик услуг обязан выявлять инциденты высокого приоритета, включая, помимо прочего: нарушения целостности данных и неоднократные задержки передачи данных.</w:t>
            </w:r>
          </w:p>
        </w:tc>
      </w:tr>
    </w:tbl>
    <w:p w14:paraId="787F7FE0" w14:textId="77777777" w:rsidR="007B476E" w:rsidRPr="00CF35EE" w:rsidRDefault="007B476E" w:rsidP="00447111">
      <w:pPr>
        <w:pStyle w:val="Default"/>
        <w:ind w:left="720"/>
        <w:jc w:val="both"/>
        <w:rPr>
          <w:rFonts w:ascii="Times New Roman" w:hAnsi="Times New Roman" w:cs="Times New Roman"/>
          <w:bCs/>
          <w:color w:val="000000" w:themeColor="text1"/>
          <w:lang w:val="ru-RU"/>
        </w:rPr>
      </w:pPr>
    </w:p>
    <w:p w14:paraId="5EF36BA8" w14:textId="035B5915" w:rsidR="009B7346" w:rsidRPr="00CF35EE" w:rsidRDefault="00EE110A" w:rsidP="00447111">
      <w:pPr>
        <w:pStyle w:val="Default"/>
        <w:ind w:left="720"/>
        <w:jc w:val="both"/>
        <w:rPr>
          <w:rFonts w:ascii="Times New Roman" w:hAnsi="Times New Roman" w:cs="Times New Roman"/>
          <w:bCs/>
          <w:color w:val="000000" w:themeColor="text1"/>
          <w:lang w:val="ru-RU"/>
        </w:rPr>
      </w:pPr>
      <w:r w:rsidRPr="00CF35EE">
        <w:rPr>
          <w:rFonts w:ascii="Times New Roman" w:hAnsi="Times New Roman" w:cs="Times New Roman"/>
          <w:lang w:val="ru-RU"/>
        </w:rPr>
        <w:t xml:space="preserve">1.2. </w:t>
      </w:r>
      <w:r w:rsidR="00CF35EE" w:rsidRPr="00CF35EE">
        <w:rPr>
          <w:rFonts w:ascii="Times New Roman" w:hAnsi="Times New Roman" w:cs="Times New Roman"/>
          <w:lang w:val="ru-RU"/>
        </w:rPr>
        <w:t>Требования к интерфейсу прикладного программирования (</w:t>
      </w:r>
      <w:r w:rsidR="00CF35EE" w:rsidRPr="00CF35EE">
        <w:rPr>
          <w:rFonts w:ascii="Times New Roman" w:hAnsi="Times New Roman" w:cs="Times New Roman"/>
        </w:rPr>
        <w:t>API</w:t>
      </w:r>
      <w:r w:rsidR="00CF35EE" w:rsidRPr="00CF35EE">
        <w:rPr>
          <w:rFonts w:ascii="Times New Roman" w:hAnsi="Times New Roman" w:cs="Times New Roman"/>
          <w:lang w:val="ru-RU"/>
        </w:rPr>
        <w:t>)</w:t>
      </w:r>
    </w:p>
    <w:tbl>
      <w:tblPr>
        <w:tblW w:w="9592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8224"/>
      </w:tblGrid>
      <w:tr w:rsidR="00EE110A" w:rsidRPr="00CF35EE" w14:paraId="5E52A3C4" w14:textId="77777777" w:rsidTr="0069119C">
        <w:trPr>
          <w:trHeight w:val="150"/>
        </w:trPr>
        <w:tc>
          <w:tcPr>
            <w:tcW w:w="1368" w:type="dxa"/>
            <w:shd w:val="clear" w:color="auto" w:fill="BFBFBF" w:themeFill="background1" w:themeFillShade="BF"/>
          </w:tcPr>
          <w:p w14:paraId="3B75F515" w14:textId="06F9E8B6" w:rsidR="00EE110A" w:rsidRPr="00CF35EE" w:rsidRDefault="00BE5F5A" w:rsidP="00EE110A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Номер</w:t>
            </w:r>
            <w:proofErr w:type="spellEnd"/>
            <w:r w:rsidR="00EE110A" w:rsidRPr="00CF35EE">
              <w:rPr>
                <w:rFonts w:ascii="Times New Roman" w:hAnsi="Times New Roman" w:cs="Times New Roman"/>
              </w:rPr>
              <w:t xml:space="preserve"> | </w:t>
            </w:r>
          </w:p>
        </w:tc>
        <w:tc>
          <w:tcPr>
            <w:tcW w:w="8224" w:type="dxa"/>
            <w:shd w:val="clear" w:color="auto" w:fill="BFBFBF" w:themeFill="background1" w:themeFillShade="BF"/>
          </w:tcPr>
          <w:p w14:paraId="3747F36E" w14:textId="3370F509" w:rsidR="00EE110A" w:rsidRPr="00CF35EE" w:rsidRDefault="00EE110A" w:rsidP="00EE110A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F35EE" w:rsidRPr="00CF35EE">
              <w:rPr>
                <w:rFonts w:ascii="Times New Roman" w:hAnsi="Times New Roman" w:cs="Times New Roman"/>
              </w:rPr>
              <w:t>Описание</w:t>
            </w:r>
            <w:proofErr w:type="spellEnd"/>
            <w:r w:rsidR="00CF35EE" w:rsidRPr="00CF35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F35EE" w:rsidRPr="00CF35EE">
              <w:rPr>
                <w:rFonts w:ascii="Times New Roman" w:hAnsi="Times New Roman" w:cs="Times New Roman"/>
              </w:rPr>
              <w:t>технических</w:t>
            </w:r>
            <w:proofErr w:type="spellEnd"/>
            <w:r w:rsidR="00CF35EE" w:rsidRPr="00CF35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F35EE" w:rsidRPr="00CF35EE">
              <w:rPr>
                <w:rFonts w:ascii="Times New Roman" w:hAnsi="Times New Roman" w:cs="Times New Roman"/>
              </w:rPr>
              <w:t>требований</w:t>
            </w:r>
            <w:proofErr w:type="spellEnd"/>
          </w:p>
        </w:tc>
      </w:tr>
      <w:tr w:rsidR="00AA6329" w:rsidRPr="006F319C" w14:paraId="487CD8F6" w14:textId="77777777" w:rsidTr="0069119C">
        <w:trPr>
          <w:trHeight w:val="897"/>
        </w:trPr>
        <w:tc>
          <w:tcPr>
            <w:tcW w:w="1368" w:type="dxa"/>
          </w:tcPr>
          <w:p w14:paraId="2F0DF888" w14:textId="77777777" w:rsidR="00AA6329" w:rsidRPr="00CF35EE" w:rsidRDefault="00AA6329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46045305" w14:textId="2875BE9D" w:rsidR="00AA6329" w:rsidRPr="00CF35EE" w:rsidRDefault="00AA6329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 w:rsidR="005171B5" w:rsidRPr="00CF35EE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  <w:p w14:paraId="43FA9676" w14:textId="77777777" w:rsidR="00AA6329" w:rsidRPr="00CF35EE" w:rsidRDefault="00AA6329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224" w:type="dxa"/>
          </w:tcPr>
          <w:p w14:paraId="7F6B0A73" w14:textId="3CD42F82" w:rsidR="00AA6329" w:rsidRPr="00CF35EE" w:rsidRDefault="00CF35EE" w:rsidP="0044711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>Поставщик услуг должен разработать и предоставить защищенный интерфейс, позволяющий всем лицензированным наземным и онлайн-игровым системам передавать необходимые игровые данные в систему мониторинга практически в режиме реального времени. Интерфейс должен поддерживать зашифрованную связь, уникальные идентификаторы записей, понятные сообщения об ошибках и ответы с подтверждением.</w:t>
            </w:r>
          </w:p>
        </w:tc>
      </w:tr>
      <w:tr w:rsidR="00AA6329" w:rsidRPr="006F319C" w14:paraId="315D1B6D" w14:textId="77777777" w:rsidTr="0069119C">
        <w:trPr>
          <w:trHeight w:val="897"/>
        </w:trPr>
        <w:tc>
          <w:tcPr>
            <w:tcW w:w="1368" w:type="dxa"/>
          </w:tcPr>
          <w:p w14:paraId="2AF1AC12" w14:textId="10A07D39" w:rsidR="00AA6329" w:rsidRPr="00CF35EE" w:rsidRDefault="005171B5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13</w:t>
            </w:r>
          </w:p>
        </w:tc>
        <w:tc>
          <w:tcPr>
            <w:tcW w:w="8224" w:type="dxa"/>
          </w:tcPr>
          <w:p w14:paraId="1462E7A3" w14:textId="4276EE23" w:rsidR="00AA6329" w:rsidRPr="00CF35EE" w:rsidRDefault="00CF35EE" w:rsidP="0044711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>Поставщик услуг должен разработать и предоставить защищенный интерфейс, позволяющий операторам проверять, находится ли игрок в списке исключений, используя только минимально необходимые данные для подтверждения статуса исключения в соответствии с применимыми правовыми, нормативными и техническими требованиями. Это может включать интеграцию с национальным реестром населения, базой данных налогоплательщиков Государственного налогового комитета и безопасное ведение списка исключений.</w:t>
            </w:r>
          </w:p>
        </w:tc>
      </w:tr>
      <w:tr w:rsidR="00AA6329" w:rsidRPr="006F319C" w14:paraId="2C4C65F7" w14:textId="77777777" w:rsidTr="001414BB">
        <w:trPr>
          <w:trHeight w:val="836"/>
        </w:trPr>
        <w:tc>
          <w:tcPr>
            <w:tcW w:w="1368" w:type="dxa"/>
          </w:tcPr>
          <w:p w14:paraId="219D88A4" w14:textId="36E55B25" w:rsidR="00AA6329" w:rsidRPr="00CF35EE" w:rsidRDefault="005171B5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14</w:t>
            </w:r>
          </w:p>
        </w:tc>
        <w:tc>
          <w:tcPr>
            <w:tcW w:w="8224" w:type="dxa"/>
          </w:tcPr>
          <w:p w14:paraId="338FBCD7" w14:textId="73283415" w:rsidR="00AA6329" w:rsidRPr="00CF35EE" w:rsidRDefault="00CF35EE" w:rsidP="0044711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>Поставщик услуг обязан предоставлять всем операторам и их системным провайдерам поддержку в интеграции, инструменты тестирования и техническую документацию для обеспечения успешного подключения к системе мониторинга.</w:t>
            </w:r>
          </w:p>
        </w:tc>
      </w:tr>
    </w:tbl>
    <w:p w14:paraId="09F070C0" w14:textId="77777777" w:rsidR="009B7346" w:rsidRPr="00CF35EE" w:rsidRDefault="009B7346" w:rsidP="00447111">
      <w:pPr>
        <w:pStyle w:val="Default"/>
        <w:ind w:left="720"/>
        <w:jc w:val="both"/>
        <w:rPr>
          <w:rFonts w:ascii="Times New Roman" w:hAnsi="Times New Roman" w:cs="Times New Roman"/>
          <w:bCs/>
          <w:color w:val="000000" w:themeColor="text1"/>
          <w:lang w:val="ru-RU"/>
        </w:rPr>
      </w:pPr>
    </w:p>
    <w:p w14:paraId="68223C2E" w14:textId="77777777" w:rsidR="00663CC6" w:rsidRPr="00CF35EE" w:rsidRDefault="00663CC6" w:rsidP="00447111">
      <w:pPr>
        <w:jc w:val="both"/>
        <w:rPr>
          <w:rFonts w:ascii="Times New Roman" w:hAnsi="Times New Roman" w:cs="Times New Roman"/>
          <w:bCs/>
          <w:color w:val="000000" w:themeColor="text1"/>
          <w:kern w:val="0"/>
          <w:lang w:val="ru-RU"/>
        </w:rPr>
      </w:pPr>
      <w:r w:rsidRPr="00CF35EE">
        <w:rPr>
          <w:rFonts w:ascii="Times New Roman" w:hAnsi="Times New Roman" w:cs="Times New Roman"/>
          <w:bCs/>
          <w:color w:val="000000" w:themeColor="text1"/>
          <w:lang w:val="ru-RU"/>
        </w:rPr>
        <w:br w:type="page"/>
      </w:r>
    </w:p>
    <w:p w14:paraId="30F363C0" w14:textId="7CD0A9B0" w:rsidR="009B7346" w:rsidRPr="00CF35EE" w:rsidRDefault="00EE110A" w:rsidP="00447111">
      <w:pPr>
        <w:pStyle w:val="Default"/>
        <w:ind w:left="720"/>
        <w:jc w:val="both"/>
        <w:rPr>
          <w:rFonts w:ascii="Times New Roman" w:hAnsi="Times New Roman" w:cs="Times New Roman"/>
          <w:bCs/>
          <w:color w:val="000000" w:themeColor="text1"/>
          <w:lang w:val="ru-RU"/>
        </w:rPr>
      </w:pPr>
      <w:r w:rsidRPr="00CF35EE">
        <w:rPr>
          <w:rFonts w:ascii="Times New Roman" w:hAnsi="Times New Roman" w:cs="Times New Roman"/>
          <w:lang w:val="ru-RU"/>
        </w:rPr>
        <w:lastRenderedPageBreak/>
        <w:t>1.3</w:t>
      </w:r>
      <w:r w:rsidR="00CF35EE" w:rsidRPr="00CF35EE">
        <w:rPr>
          <w:rFonts w:ascii="Times New Roman" w:hAnsi="Times New Roman" w:cs="Times New Roman"/>
          <w:lang w:val="ru-RU"/>
        </w:rPr>
        <w:t>.Требования к хранению и целостности данных</w:t>
      </w:r>
    </w:p>
    <w:tbl>
      <w:tblPr>
        <w:tblW w:w="9592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8224"/>
      </w:tblGrid>
      <w:tr w:rsidR="00EE110A" w:rsidRPr="00CF35EE" w14:paraId="27BED708" w14:textId="77777777" w:rsidTr="0069119C">
        <w:trPr>
          <w:trHeight w:val="150"/>
        </w:trPr>
        <w:tc>
          <w:tcPr>
            <w:tcW w:w="1368" w:type="dxa"/>
            <w:shd w:val="clear" w:color="auto" w:fill="BFBFBF" w:themeFill="background1" w:themeFillShade="BF"/>
          </w:tcPr>
          <w:p w14:paraId="04469D09" w14:textId="431561BF" w:rsidR="00EE110A" w:rsidRPr="00CF35EE" w:rsidRDefault="00BE5F5A" w:rsidP="00EE110A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Номер</w:t>
            </w:r>
            <w:proofErr w:type="spellEnd"/>
            <w:r w:rsidR="00EE110A" w:rsidRPr="00CF35EE">
              <w:rPr>
                <w:rFonts w:ascii="Times New Roman" w:hAnsi="Times New Roman" w:cs="Times New Roman"/>
              </w:rPr>
              <w:t xml:space="preserve">| </w:t>
            </w:r>
          </w:p>
        </w:tc>
        <w:tc>
          <w:tcPr>
            <w:tcW w:w="8224" w:type="dxa"/>
            <w:shd w:val="clear" w:color="auto" w:fill="BFBFBF" w:themeFill="background1" w:themeFillShade="BF"/>
          </w:tcPr>
          <w:p w14:paraId="24032568" w14:textId="4C4D7E42" w:rsidR="00EE110A" w:rsidRPr="00CF35EE" w:rsidRDefault="00CF35EE" w:rsidP="00EE110A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</w:rPr>
              <w:t>Описание</w:t>
            </w:r>
            <w:proofErr w:type="spellEnd"/>
            <w:r w:rsidRPr="00CF35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</w:rPr>
              <w:t>технических</w:t>
            </w:r>
            <w:proofErr w:type="spellEnd"/>
            <w:r w:rsidRPr="00CF35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</w:rPr>
              <w:t>требований</w:t>
            </w:r>
            <w:proofErr w:type="spellEnd"/>
          </w:p>
        </w:tc>
      </w:tr>
      <w:tr w:rsidR="00AA6329" w:rsidRPr="006F319C" w14:paraId="2DF7382E" w14:textId="77777777" w:rsidTr="0069119C">
        <w:trPr>
          <w:trHeight w:val="897"/>
        </w:trPr>
        <w:tc>
          <w:tcPr>
            <w:tcW w:w="1368" w:type="dxa"/>
          </w:tcPr>
          <w:p w14:paraId="282E878D" w14:textId="77777777" w:rsidR="00AA6329" w:rsidRPr="00CF35EE" w:rsidRDefault="00AA6329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1C130637" w14:textId="374103AE" w:rsidR="00AA6329" w:rsidRPr="00CF35EE" w:rsidRDefault="00AA6329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  <w:r w:rsidR="00E06799" w:rsidRPr="00CF35EE">
              <w:rPr>
                <w:rFonts w:ascii="Times New Roman" w:hAnsi="Times New Roman" w:cs="Times New Roman"/>
                <w:bCs/>
                <w:color w:val="000000" w:themeColor="text1"/>
              </w:rPr>
              <w:t>5</w:t>
            </w:r>
          </w:p>
          <w:p w14:paraId="2D48BCC1" w14:textId="77777777" w:rsidR="00AA6329" w:rsidRPr="00CF35EE" w:rsidRDefault="00AA6329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224" w:type="dxa"/>
          </w:tcPr>
          <w:p w14:paraId="5A7DFA46" w14:textId="27C6D959" w:rsidR="00AA6329" w:rsidRPr="00CF35EE" w:rsidRDefault="00CF35EE" w:rsidP="0044711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>Поставщик услуг обязан ежедневно и ежемесячно проводить проверки сверки данных для подтверждения соответствия данных, полученных от операторов, данным, хранящимся в их внутренних системах, при условии предоставления соответствующего доступа.</w:t>
            </w:r>
          </w:p>
        </w:tc>
      </w:tr>
      <w:tr w:rsidR="00AA6329" w:rsidRPr="006F319C" w14:paraId="02DF3BDA" w14:textId="77777777" w:rsidTr="001414BB">
        <w:trPr>
          <w:trHeight w:val="683"/>
        </w:trPr>
        <w:tc>
          <w:tcPr>
            <w:tcW w:w="1368" w:type="dxa"/>
          </w:tcPr>
          <w:p w14:paraId="4293354B" w14:textId="269092ED" w:rsidR="00AA6329" w:rsidRPr="00CF35EE" w:rsidRDefault="00E06799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F319C">
              <w:rPr>
                <w:rFonts w:ascii="Times New Roman" w:hAnsi="Times New Roman" w:cs="Times New Roman"/>
                <w:bCs/>
                <w:color w:val="000000" w:themeColor="text1"/>
              </w:rPr>
              <w:t>16</w:t>
            </w:r>
            <w:bookmarkStart w:id="0" w:name="_GoBack"/>
            <w:bookmarkEnd w:id="0"/>
          </w:p>
        </w:tc>
        <w:tc>
          <w:tcPr>
            <w:tcW w:w="8224" w:type="dxa"/>
          </w:tcPr>
          <w:p w14:paraId="24704A4D" w14:textId="1939FF32" w:rsidR="00AA6329" w:rsidRPr="00CF35EE" w:rsidRDefault="00CF35EE" w:rsidP="0044711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>Поставщик услуг обязан хранить данные об игровой активности в защищенной среде в течение минимального периода, определяемого в соответствии с применимыми правовыми, нормативными и техническими требованиями, обеспечивая возможность восстановления данных для проведения аудита или расследований. Уровень детализации данных и сроки хранения могут варьироваться в зависимости от типа/классификации данных.</w:t>
            </w:r>
          </w:p>
        </w:tc>
      </w:tr>
      <w:tr w:rsidR="00AA6329" w:rsidRPr="006F319C" w14:paraId="340D4144" w14:textId="77777777" w:rsidTr="001414BB">
        <w:trPr>
          <w:trHeight w:val="683"/>
        </w:trPr>
        <w:tc>
          <w:tcPr>
            <w:tcW w:w="1368" w:type="dxa"/>
          </w:tcPr>
          <w:p w14:paraId="7EDDF903" w14:textId="6EB77578" w:rsidR="00AA6329" w:rsidRPr="00CF35EE" w:rsidRDefault="00E06799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17</w:t>
            </w:r>
          </w:p>
        </w:tc>
        <w:tc>
          <w:tcPr>
            <w:tcW w:w="8224" w:type="dxa"/>
          </w:tcPr>
          <w:p w14:paraId="24A6F4E2" w14:textId="03481133" w:rsidR="00AA6329" w:rsidRPr="00CF35EE" w:rsidRDefault="00CF35EE" w:rsidP="0044711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>Поставщик услуг обязан предотвращать дублирование транзакций путем внедрения контроля последовательности и проверки временных меток.</w:t>
            </w:r>
          </w:p>
        </w:tc>
      </w:tr>
      <w:tr w:rsidR="00AA6329" w:rsidRPr="006F319C" w14:paraId="07907B65" w14:textId="77777777" w:rsidTr="001414BB">
        <w:trPr>
          <w:trHeight w:val="683"/>
        </w:trPr>
        <w:tc>
          <w:tcPr>
            <w:tcW w:w="1368" w:type="dxa"/>
          </w:tcPr>
          <w:p w14:paraId="558070FC" w14:textId="5227D1BA" w:rsidR="00AA6329" w:rsidRPr="00CF35EE" w:rsidRDefault="00E06799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18</w:t>
            </w:r>
          </w:p>
        </w:tc>
        <w:tc>
          <w:tcPr>
            <w:tcW w:w="8224" w:type="dxa"/>
          </w:tcPr>
          <w:p w14:paraId="3B7B62F7" w14:textId="69BB5347" w:rsidR="00AA6329" w:rsidRPr="00CF35EE" w:rsidRDefault="00CF35EE" w:rsidP="0044711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>Поставщик услуг обязан выявлять отсутствующие транзакции, записи, расположенные не в правильной последовательности, и пробелы в данных, используя возможности соответствующих сторонних систем и структур данных.</w:t>
            </w:r>
          </w:p>
        </w:tc>
      </w:tr>
      <w:tr w:rsidR="00AA6329" w:rsidRPr="006F319C" w14:paraId="6C6BD01C" w14:textId="77777777" w:rsidTr="001414BB">
        <w:trPr>
          <w:trHeight w:val="683"/>
        </w:trPr>
        <w:tc>
          <w:tcPr>
            <w:tcW w:w="1368" w:type="dxa"/>
          </w:tcPr>
          <w:p w14:paraId="5F68E015" w14:textId="67A4A559" w:rsidR="00AA6329" w:rsidRPr="00CF35EE" w:rsidRDefault="00E06799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19</w:t>
            </w:r>
          </w:p>
          <w:p w14:paraId="3E912EB0" w14:textId="347DF691" w:rsidR="00AA6329" w:rsidRPr="00CF35EE" w:rsidRDefault="00AA6329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224" w:type="dxa"/>
          </w:tcPr>
          <w:p w14:paraId="62B8F3BF" w14:textId="3BB91103" w:rsidR="00AA6329" w:rsidRPr="00CF35EE" w:rsidRDefault="00CF35EE" w:rsidP="0044711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 xml:space="preserve">Поставщик услуг должен обеспечить криптографическую проверяемость и защиту от несанкционированного изменения всех данных игровых транзакций при их хранении и обработке, используя стандартные отраслевые механизмы, такие как неизменяемое хранилище, цифровые подписи, хеширование, технология </w:t>
            </w:r>
            <w:r w:rsidRPr="00CF35EE">
              <w:rPr>
                <w:rFonts w:ascii="Times New Roman" w:hAnsi="Times New Roman" w:cs="Times New Roman"/>
              </w:rPr>
              <w:t>WORM</w:t>
            </w:r>
            <w:r w:rsidRPr="00CF35EE">
              <w:rPr>
                <w:rFonts w:ascii="Times New Roman" w:hAnsi="Times New Roman" w:cs="Times New Roman"/>
                <w:lang w:val="ru-RU"/>
              </w:rPr>
              <w:t xml:space="preserve"> (</w:t>
            </w:r>
            <w:r w:rsidRPr="00CF35EE">
              <w:rPr>
                <w:rFonts w:ascii="Times New Roman" w:hAnsi="Times New Roman" w:cs="Times New Roman"/>
              </w:rPr>
              <w:t>write</w:t>
            </w:r>
            <w:r w:rsidRPr="00CF35EE">
              <w:rPr>
                <w:rFonts w:ascii="Times New Roman" w:hAnsi="Times New Roman" w:cs="Times New Roman"/>
                <w:lang w:val="ru-RU"/>
              </w:rPr>
              <w:t>-</w:t>
            </w:r>
            <w:r w:rsidRPr="00CF35EE">
              <w:rPr>
                <w:rFonts w:ascii="Times New Roman" w:hAnsi="Times New Roman" w:cs="Times New Roman"/>
              </w:rPr>
              <w:t>once</w:t>
            </w:r>
            <w:r w:rsidRPr="00CF35EE">
              <w:rPr>
                <w:rFonts w:ascii="Times New Roman" w:hAnsi="Times New Roman" w:cs="Times New Roman"/>
                <w:lang w:val="ru-RU"/>
              </w:rPr>
              <w:t>-</w:t>
            </w:r>
            <w:r w:rsidRPr="00CF35EE">
              <w:rPr>
                <w:rFonts w:ascii="Times New Roman" w:hAnsi="Times New Roman" w:cs="Times New Roman"/>
              </w:rPr>
              <w:t>read</w:t>
            </w:r>
            <w:r w:rsidRPr="00CF35EE">
              <w:rPr>
                <w:rFonts w:ascii="Times New Roman" w:hAnsi="Times New Roman" w:cs="Times New Roman"/>
                <w:lang w:val="ru-RU"/>
              </w:rPr>
              <w:t>-</w:t>
            </w:r>
            <w:r w:rsidRPr="00CF35EE">
              <w:rPr>
                <w:rFonts w:ascii="Times New Roman" w:hAnsi="Times New Roman" w:cs="Times New Roman"/>
              </w:rPr>
              <w:t>many</w:t>
            </w:r>
            <w:r w:rsidRPr="00CF35EE">
              <w:rPr>
                <w:rFonts w:ascii="Times New Roman" w:hAnsi="Times New Roman" w:cs="Times New Roman"/>
                <w:lang w:val="ru-RU"/>
              </w:rPr>
              <w:t>) или эквивалентные методы.</w:t>
            </w:r>
          </w:p>
        </w:tc>
      </w:tr>
      <w:tr w:rsidR="00AA6329" w:rsidRPr="006F319C" w14:paraId="205F2C49" w14:textId="77777777" w:rsidTr="001414BB">
        <w:trPr>
          <w:trHeight w:val="683"/>
        </w:trPr>
        <w:tc>
          <w:tcPr>
            <w:tcW w:w="1368" w:type="dxa"/>
          </w:tcPr>
          <w:p w14:paraId="67A46FE7" w14:textId="3E0B8E8A" w:rsidR="00AA6329" w:rsidRPr="00CF35EE" w:rsidRDefault="00E06799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20</w:t>
            </w:r>
          </w:p>
        </w:tc>
        <w:tc>
          <w:tcPr>
            <w:tcW w:w="8224" w:type="dxa"/>
          </w:tcPr>
          <w:p w14:paraId="2A65D9BF" w14:textId="2C051984" w:rsidR="00AA6329" w:rsidRPr="00CF35EE" w:rsidRDefault="00CF35EE" w:rsidP="0044711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>Поставщик услуг самостоятельно пересчитывает валовой доход от азартных игр (</w:t>
            </w:r>
            <w:r w:rsidRPr="00CF35EE">
              <w:rPr>
                <w:rFonts w:ascii="Times New Roman" w:hAnsi="Times New Roman" w:cs="Times New Roman"/>
              </w:rPr>
              <w:t>GGR</w:t>
            </w:r>
            <w:r w:rsidRPr="00CF35EE">
              <w:rPr>
                <w:rFonts w:ascii="Times New Roman" w:hAnsi="Times New Roman" w:cs="Times New Roman"/>
                <w:lang w:val="ru-RU"/>
              </w:rPr>
              <w:t>) на основе данных первичных счетчиков и транзакций.</w:t>
            </w:r>
          </w:p>
        </w:tc>
      </w:tr>
      <w:tr w:rsidR="00AA6329" w:rsidRPr="006F319C" w14:paraId="57DEC727" w14:textId="77777777" w:rsidTr="001414BB">
        <w:trPr>
          <w:trHeight w:val="683"/>
        </w:trPr>
        <w:tc>
          <w:tcPr>
            <w:tcW w:w="1368" w:type="dxa"/>
          </w:tcPr>
          <w:p w14:paraId="7728D6FA" w14:textId="55E39FE1" w:rsidR="00AA6329" w:rsidRPr="00CF35EE" w:rsidRDefault="00E06799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21</w:t>
            </w:r>
          </w:p>
        </w:tc>
        <w:tc>
          <w:tcPr>
            <w:tcW w:w="8224" w:type="dxa"/>
          </w:tcPr>
          <w:p w14:paraId="74CC2CC7" w14:textId="3C356466" w:rsidR="00AA6329" w:rsidRPr="00CF35EE" w:rsidRDefault="00CF35EE" w:rsidP="00447111">
            <w:pPr>
              <w:pStyle w:val="NormalWeb"/>
              <w:jc w:val="both"/>
              <w:rPr>
                <w:color w:val="000000" w:themeColor="text1"/>
                <w:lang w:val="ru-RU"/>
              </w:rPr>
            </w:pPr>
            <w:r w:rsidRPr="00CF35EE">
              <w:rPr>
                <w:lang w:val="ru-RU"/>
              </w:rPr>
              <w:t>Поставщик услуг обязан вести полный журнал аудита данных приложения, включая подробные записи запросов к базе данных и сгенерированные отчеты.</w:t>
            </w:r>
          </w:p>
        </w:tc>
      </w:tr>
      <w:tr w:rsidR="00AA6329" w:rsidRPr="006F319C" w14:paraId="0A6CB9BC" w14:textId="77777777" w:rsidTr="001414BB">
        <w:trPr>
          <w:trHeight w:val="683"/>
        </w:trPr>
        <w:tc>
          <w:tcPr>
            <w:tcW w:w="1368" w:type="dxa"/>
          </w:tcPr>
          <w:p w14:paraId="055978C6" w14:textId="1E59A78B" w:rsidR="00AA6329" w:rsidRPr="00CF35EE" w:rsidRDefault="00E06799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22</w:t>
            </w:r>
          </w:p>
        </w:tc>
        <w:tc>
          <w:tcPr>
            <w:tcW w:w="8224" w:type="dxa"/>
          </w:tcPr>
          <w:p w14:paraId="547AE9EB" w14:textId="3792E4AF" w:rsidR="00AA6329" w:rsidRPr="00CF35EE" w:rsidRDefault="00CF35EE" w:rsidP="0044711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>Поставщик услуг обязан собирать все данные об игровой активности практически в режиме реального времени с максимальной сквозной задержкой не более 3 секунд, за исключением задержек, вызванных системами оператора, системами третьих лиц, внешними сетями или другими факторами, не зависящими от поставщика услуг.</w:t>
            </w:r>
          </w:p>
        </w:tc>
      </w:tr>
    </w:tbl>
    <w:p w14:paraId="4907BF6F" w14:textId="77777777" w:rsidR="001414BB" w:rsidRPr="00CF35EE" w:rsidRDefault="001414BB" w:rsidP="00447111">
      <w:pPr>
        <w:pStyle w:val="Default"/>
        <w:ind w:left="720"/>
        <w:jc w:val="both"/>
        <w:rPr>
          <w:rFonts w:ascii="Times New Roman" w:hAnsi="Times New Roman" w:cs="Times New Roman"/>
          <w:bCs/>
          <w:color w:val="000000" w:themeColor="text1"/>
          <w:lang w:val="ru-RU"/>
        </w:rPr>
      </w:pPr>
    </w:p>
    <w:p w14:paraId="019591BC" w14:textId="7871569C" w:rsidR="00C53617" w:rsidRPr="00CF35EE" w:rsidRDefault="00EE110A" w:rsidP="00447111">
      <w:pPr>
        <w:pStyle w:val="Default"/>
        <w:ind w:left="720"/>
        <w:jc w:val="both"/>
        <w:rPr>
          <w:rFonts w:ascii="Times New Roman" w:hAnsi="Times New Roman" w:cs="Times New Roman"/>
          <w:color w:val="000000" w:themeColor="text1"/>
        </w:rPr>
      </w:pPr>
      <w:r w:rsidRPr="00CF35EE">
        <w:rPr>
          <w:rFonts w:ascii="Times New Roman" w:hAnsi="Times New Roman" w:cs="Times New Roman"/>
        </w:rPr>
        <w:t xml:space="preserve">1.4. </w:t>
      </w:r>
      <w:proofErr w:type="spellStart"/>
      <w:r w:rsidR="00CF35EE" w:rsidRPr="00CF35EE">
        <w:rPr>
          <w:rFonts w:ascii="Times New Roman" w:hAnsi="Times New Roman" w:cs="Times New Roman"/>
        </w:rPr>
        <w:t>Требования</w:t>
      </w:r>
      <w:proofErr w:type="spellEnd"/>
      <w:r w:rsidR="00CF35EE" w:rsidRPr="00CF35EE">
        <w:rPr>
          <w:rFonts w:ascii="Times New Roman" w:hAnsi="Times New Roman" w:cs="Times New Roman"/>
        </w:rPr>
        <w:t xml:space="preserve"> к </w:t>
      </w:r>
      <w:proofErr w:type="spellStart"/>
      <w:r w:rsidR="00CF35EE" w:rsidRPr="00CF35EE">
        <w:rPr>
          <w:rFonts w:ascii="Times New Roman" w:hAnsi="Times New Roman" w:cs="Times New Roman"/>
        </w:rPr>
        <w:t>физической</w:t>
      </w:r>
      <w:proofErr w:type="spellEnd"/>
      <w:r w:rsidR="00CF35EE" w:rsidRPr="00CF35EE">
        <w:rPr>
          <w:rFonts w:ascii="Times New Roman" w:hAnsi="Times New Roman" w:cs="Times New Roman"/>
        </w:rPr>
        <w:t xml:space="preserve"> </w:t>
      </w:r>
      <w:proofErr w:type="spellStart"/>
      <w:r w:rsidR="00CF35EE" w:rsidRPr="00CF35EE">
        <w:rPr>
          <w:rFonts w:ascii="Times New Roman" w:hAnsi="Times New Roman" w:cs="Times New Roman"/>
        </w:rPr>
        <w:t>инфраструктуре</w:t>
      </w:r>
      <w:proofErr w:type="spellEnd"/>
    </w:p>
    <w:tbl>
      <w:tblPr>
        <w:tblW w:w="9592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8224"/>
      </w:tblGrid>
      <w:tr w:rsidR="00EE110A" w:rsidRPr="00CF35EE" w14:paraId="28899271" w14:textId="77777777" w:rsidTr="00F16B6B">
        <w:trPr>
          <w:trHeight w:val="150"/>
        </w:trPr>
        <w:tc>
          <w:tcPr>
            <w:tcW w:w="1368" w:type="dxa"/>
            <w:shd w:val="clear" w:color="auto" w:fill="BFBFBF" w:themeFill="background1" w:themeFillShade="BF"/>
          </w:tcPr>
          <w:p w14:paraId="62049071" w14:textId="2BCDAD11" w:rsidR="00EE110A" w:rsidRPr="00CF35EE" w:rsidRDefault="00BE5F5A" w:rsidP="00EE110A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Номер</w:t>
            </w:r>
            <w:proofErr w:type="spellEnd"/>
            <w:r w:rsidR="00EE110A" w:rsidRPr="00CF35EE">
              <w:rPr>
                <w:rFonts w:ascii="Times New Roman" w:hAnsi="Times New Roman" w:cs="Times New Roman"/>
              </w:rPr>
              <w:t xml:space="preserve"> | </w:t>
            </w:r>
          </w:p>
        </w:tc>
        <w:tc>
          <w:tcPr>
            <w:tcW w:w="8224" w:type="dxa"/>
            <w:shd w:val="clear" w:color="auto" w:fill="BFBFBF" w:themeFill="background1" w:themeFillShade="BF"/>
          </w:tcPr>
          <w:p w14:paraId="64263344" w14:textId="3B21AA2D" w:rsidR="00EE110A" w:rsidRPr="00CF35EE" w:rsidRDefault="00EE110A" w:rsidP="00EE110A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F35EE" w:rsidRPr="00CF35EE">
              <w:rPr>
                <w:rFonts w:ascii="Times New Roman" w:hAnsi="Times New Roman" w:cs="Times New Roman"/>
              </w:rPr>
              <w:t>Описание</w:t>
            </w:r>
            <w:proofErr w:type="spellEnd"/>
            <w:r w:rsidR="00CF35EE" w:rsidRPr="00CF35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F35EE" w:rsidRPr="00CF35EE">
              <w:rPr>
                <w:rFonts w:ascii="Times New Roman" w:hAnsi="Times New Roman" w:cs="Times New Roman"/>
              </w:rPr>
              <w:t>технических</w:t>
            </w:r>
            <w:proofErr w:type="spellEnd"/>
            <w:r w:rsidR="00CF35EE" w:rsidRPr="00CF35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F35EE" w:rsidRPr="00CF35EE">
              <w:rPr>
                <w:rFonts w:ascii="Times New Roman" w:hAnsi="Times New Roman" w:cs="Times New Roman"/>
              </w:rPr>
              <w:t>требований</w:t>
            </w:r>
            <w:proofErr w:type="spellEnd"/>
          </w:p>
        </w:tc>
      </w:tr>
      <w:tr w:rsidR="00AA6329" w:rsidRPr="006F319C" w14:paraId="07DEE992" w14:textId="77777777" w:rsidTr="00F16B6B">
        <w:trPr>
          <w:trHeight w:val="897"/>
        </w:trPr>
        <w:tc>
          <w:tcPr>
            <w:tcW w:w="1368" w:type="dxa"/>
          </w:tcPr>
          <w:p w14:paraId="74D50B9F" w14:textId="77777777" w:rsidR="00AA6329" w:rsidRPr="00CF35EE" w:rsidRDefault="00AA6329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2C2BBC43" w14:textId="1A36E29E" w:rsidR="00AA6329" w:rsidRPr="00CF35EE" w:rsidRDefault="00E06799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23</w:t>
            </w:r>
          </w:p>
          <w:p w14:paraId="3BB66DC0" w14:textId="77777777" w:rsidR="00AA6329" w:rsidRPr="00CF35EE" w:rsidRDefault="00AA6329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224" w:type="dxa"/>
          </w:tcPr>
          <w:p w14:paraId="609D269B" w14:textId="59331287" w:rsidR="00AA6329" w:rsidRPr="00CF35EE" w:rsidRDefault="00CF35EE" w:rsidP="0044711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>Поставщик услуг должен создать и эксплуатировать как минимум один оперативный объект в Республике Армения и, при необходимости, предоставить дополнительные объекты для поддержки системы мониторинга.</w:t>
            </w:r>
          </w:p>
        </w:tc>
      </w:tr>
      <w:tr w:rsidR="00AA6329" w:rsidRPr="006F319C" w14:paraId="302719EC" w14:textId="77777777" w:rsidTr="00F16B6B">
        <w:trPr>
          <w:trHeight w:val="613"/>
        </w:trPr>
        <w:tc>
          <w:tcPr>
            <w:tcW w:w="1368" w:type="dxa"/>
          </w:tcPr>
          <w:p w14:paraId="120A5A6B" w14:textId="46A07CE6" w:rsidR="00AA6329" w:rsidRPr="00CF35EE" w:rsidRDefault="00AA6329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  <w:r w:rsidR="00E06799" w:rsidRPr="00CF35EE"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</w:p>
        </w:tc>
        <w:tc>
          <w:tcPr>
            <w:tcW w:w="8224" w:type="dxa"/>
          </w:tcPr>
          <w:p w14:paraId="323B8341" w14:textId="54353911" w:rsidR="00AA6329" w:rsidRPr="00CF35EE" w:rsidRDefault="00CF35EE" w:rsidP="00447111">
            <w:pPr>
              <w:pStyle w:val="NormalWeb"/>
              <w:jc w:val="both"/>
              <w:rPr>
                <w:color w:val="000000" w:themeColor="text1"/>
                <w:lang w:val="ru-RU"/>
              </w:rPr>
            </w:pPr>
            <w:r w:rsidRPr="00CF35EE">
              <w:rPr>
                <w:bCs/>
                <w:lang w:val="ru-RU"/>
              </w:rPr>
              <w:t>Поставщик услуг должен обеспечить полную готовность каждого эксплуатационного объекта к использованию, включая выполнение любых необходимых ремонтных работ, регулировок или модификаций до начала эксплуатации, а также предоставление соответствующего оборудования, мебели и материалов, необходимых персоналу для выполнения задач мониторинга, технической поддержки и администрирования.</w:t>
            </w:r>
          </w:p>
        </w:tc>
      </w:tr>
      <w:tr w:rsidR="00AA6329" w:rsidRPr="00CF35EE" w14:paraId="412949C6" w14:textId="77777777" w:rsidTr="00F16B6B">
        <w:trPr>
          <w:trHeight w:val="333"/>
        </w:trPr>
        <w:tc>
          <w:tcPr>
            <w:tcW w:w="1368" w:type="dxa"/>
          </w:tcPr>
          <w:p w14:paraId="1529EC50" w14:textId="36FB1773" w:rsidR="00AA6329" w:rsidRPr="00CF35EE" w:rsidRDefault="00E06799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25</w:t>
            </w:r>
          </w:p>
        </w:tc>
        <w:tc>
          <w:tcPr>
            <w:tcW w:w="8224" w:type="dxa"/>
          </w:tcPr>
          <w:p w14:paraId="045B6473" w14:textId="7A8170C9" w:rsidR="00AA6329" w:rsidRPr="00CF35EE" w:rsidRDefault="00CF35EE" w:rsidP="0044711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 xml:space="preserve">Каждый эксплуатируемый объект должен включать надежное электроснабжение и резервное питание, а также меры безопасности, такие как контролируемый доступ, системы сигнализации и защита от несанкционированного проникновения. </w:t>
            </w:r>
            <w:proofErr w:type="spellStart"/>
            <w:r w:rsidRPr="00CF35EE">
              <w:rPr>
                <w:rFonts w:ascii="Times New Roman" w:hAnsi="Times New Roman" w:cs="Times New Roman"/>
              </w:rPr>
              <w:t>Степень</w:t>
            </w:r>
            <w:proofErr w:type="spellEnd"/>
            <w:r w:rsidRPr="00CF35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</w:rPr>
              <w:t>выполнения</w:t>
            </w:r>
            <w:proofErr w:type="spellEnd"/>
            <w:r w:rsidRPr="00CF35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</w:rPr>
              <w:t>этих</w:t>
            </w:r>
            <w:proofErr w:type="spellEnd"/>
            <w:r w:rsidRPr="00CF35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</w:rPr>
              <w:t>требований</w:t>
            </w:r>
            <w:proofErr w:type="spellEnd"/>
            <w:r w:rsidRPr="00CF35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</w:rPr>
              <w:t>определяется</w:t>
            </w:r>
            <w:proofErr w:type="spellEnd"/>
            <w:r w:rsidRPr="00CF35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</w:rPr>
              <w:t>общепринятыми</w:t>
            </w:r>
            <w:proofErr w:type="spellEnd"/>
            <w:r w:rsidRPr="00CF35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</w:rPr>
              <w:t>отраслевыми</w:t>
            </w:r>
            <w:proofErr w:type="spellEnd"/>
            <w:r w:rsidRPr="00CF35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</w:rPr>
              <w:t>стандартами</w:t>
            </w:r>
            <w:proofErr w:type="spellEnd"/>
            <w:r w:rsidRPr="00CF35EE">
              <w:rPr>
                <w:rFonts w:ascii="Times New Roman" w:hAnsi="Times New Roman" w:cs="Times New Roman"/>
              </w:rPr>
              <w:t>.</w:t>
            </w:r>
          </w:p>
        </w:tc>
      </w:tr>
      <w:tr w:rsidR="00AA6329" w:rsidRPr="006F319C" w14:paraId="4FE1B131" w14:textId="77777777" w:rsidTr="00F16B6B">
        <w:trPr>
          <w:trHeight w:val="587"/>
        </w:trPr>
        <w:tc>
          <w:tcPr>
            <w:tcW w:w="1368" w:type="dxa"/>
          </w:tcPr>
          <w:p w14:paraId="72089582" w14:textId="352BB62F" w:rsidR="00AA6329" w:rsidRPr="00CF35EE" w:rsidRDefault="00E06799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26</w:t>
            </w:r>
          </w:p>
        </w:tc>
        <w:tc>
          <w:tcPr>
            <w:tcW w:w="8224" w:type="dxa"/>
          </w:tcPr>
          <w:p w14:paraId="4E5C8EDE" w14:textId="19387E2C" w:rsidR="00AA6329" w:rsidRPr="00CF35EE" w:rsidRDefault="00CF35EE" w:rsidP="0044711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>Каждый объект эксплуатации должен включать в себя защищенное помещение для сетевого и коммуникационного оборудования, доступ к которому имеют только уполномоченные сотрудники.</w:t>
            </w:r>
          </w:p>
        </w:tc>
      </w:tr>
      <w:tr w:rsidR="00AA6329" w:rsidRPr="006F319C" w14:paraId="40A73907" w14:textId="77777777" w:rsidTr="00F16B6B">
        <w:trPr>
          <w:trHeight w:val="587"/>
        </w:trPr>
        <w:tc>
          <w:tcPr>
            <w:tcW w:w="1368" w:type="dxa"/>
          </w:tcPr>
          <w:p w14:paraId="7BFE028B" w14:textId="53A427CB" w:rsidR="00AA6329" w:rsidRPr="00CF35EE" w:rsidRDefault="00E06799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27</w:t>
            </w:r>
          </w:p>
          <w:p w14:paraId="3104CD2A" w14:textId="77777777" w:rsidR="00AA6329" w:rsidRPr="00CF35EE" w:rsidRDefault="00AA6329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224" w:type="dxa"/>
          </w:tcPr>
          <w:p w14:paraId="203F8A3E" w14:textId="21DEC0F1" w:rsidR="00AA6329" w:rsidRPr="00CF35EE" w:rsidRDefault="00CF35EE" w:rsidP="00F9186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eastAsia="Times New Roman" w:hAnsi="Times New Roman" w:cs="Times New Roman"/>
                <w:kern w:val="0"/>
                <w:lang w:val="ru-RU"/>
                <w14:ligatures w14:val="none"/>
              </w:rPr>
              <w:t xml:space="preserve">Любые данные, позволяющие идентифицировать игрока, должны храниться на территории Республики Армения. Государственный налоговый комитет (ГНК) РА предоставит для этой цели физическое помещение уровня </w:t>
            </w:r>
            <w:r w:rsidRPr="00CF35E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Tier</w:t>
            </w:r>
            <w:r w:rsidRPr="00CF35EE">
              <w:rPr>
                <w:rFonts w:ascii="Times New Roman" w:eastAsia="Times New Roman" w:hAnsi="Times New Roman" w:cs="Times New Roman"/>
                <w:kern w:val="0"/>
                <w:lang w:val="ru-RU"/>
                <w14:ligatures w14:val="none"/>
              </w:rPr>
              <w:t xml:space="preserve"> 2; однако необходимые физические серверные стойки 42</w:t>
            </w:r>
            <w:r w:rsidRPr="00CF35E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</w:t>
            </w:r>
            <w:r w:rsidRPr="00CF35EE">
              <w:rPr>
                <w:rFonts w:ascii="Times New Roman" w:eastAsia="Times New Roman" w:hAnsi="Times New Roman" w:cs="Times New Roman"/>
                <w:kern w:val="0"/>
                <w:lang w:val="ru-RU"/>
                <w14:ligatures w14:val="none"/>
              </w:rPr>
              <w:t>, входящие в комплект два управляемых блока распределения питания (</w:t>
            </w:r>
            <w:r w:rsidRPr="00CF35EE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PDU</w:t>
            </w:r>
            <w:r w:rsidRPr="00CF35EE">
              <w:rPr>
                <w:rFonts w:ascii="Times New Roman" w:eastAsia="Times New Roman" w:hAnsi="Times New Roman" w:cs="Times New Roman"/>
                <w:kern w:val="0"/>
                <w:lang w:val="ru-RU"/>
                <w14:ligatures w14:val="none"/>
              </w:rPr>
              <w:t>), системы бесперебойного питания, а также установка, настройка и текущее обслуживание оборудования, программного обеспечения, сетевого оборудования и систем безопасности, необходимых для работы в данной среде, должны быть предоставлены и управляться поставщиком услуг. Общее электропитание, подключение к интернету, общее охлаждение и физическая безопасность будут обеспечены ГНК. Любые дополнительные и отдельные системы охлаждения, электропитания или подключения, которые могут потребоваться специально от выделенной серверной стойки, должны быть предоставлены поставщиком услуг. Все остальные компоненты системы и данные могут размещаться в облачной среде (в соответствии с решением о приоритете облачных технологий), при условии, что в центрах обработки данных ГНК в РА поддерживается полная и регулярно обновляемая локальная резервная копия всех системных данных.</w:t>
            </w:r>
          </w:p>
        </w:tc>
      </w:tr>
    </w:tbl>
    <w:p w14:paraId="205776C6" w14:textId="77777777" w:rsidR="00685088" w:rsidRPr="00CF35EE" w:rsidRDefault="00685088" w:rsidP="00447111">
      <w:pPr>
        <w:jc w:val="both"/>
        <w:rPr>
          <w:rFonts w:ascii="Times New Roman" w:hAnsi="Times New Roman" w:cs="Times New Roman"/>
          <w:bCs/>
          <w:color w:val="000000" w:themeColor="text1"/>
          <w:kern w:val="0"/>
          <w:lang w:val="hy-AM"/>
        </w:rPr>
      </w:pPr>
    </w:p>
    <w:p w14:paraId="4E4831EA" w14:textId="4542A907" w:rsidR="00C53617" w:rsidRPr="00CF35EE" w:rsidRDefault="005A1F0F" w:rsidP="00447111">
      <w:pPr>
        <w:pStyle w:val="Default"/>
        <w:jc w:val="both"/>
        <w:rPr>
          <w:rFonts w:ascii="Times New Roman" w:hAnsi="Times New Roman" w:cs="Times New Roman"/>
          <w:bCs/>
          <w:color w:val="000000" w:themeColor="text1"/>
        </w:rPr>
      </w:pPr>
      <w:r w:rsidRPr="00CF35EE">
        <w:rPr>
          <w:rFonts w:ascii="Times New Roman" w:hAnsi="Times New Roman" w:cs="Times New Roman"/>
        </w:rPr>
        <w:t xml:space="preserve">1.5. </w:t>
      </w:r>
      <w:proofErr w:type="spellStart"/>
      <w:r w:rsidR="00CF35EE" w:rsidRPr="00CF35EE">
        <w:rPr>
          <w:rFonts w:ascii="Times New Roman" w:hAnsi="Times New Roman" w:cs="Times New Roman"/>
        </w:rPr>
        <w:t>Требования</w:t>
      </w:r>
      <w:proofErr w:type="spellEnd"/>
      <w:r w:rsidR="00CF35EE" w:rsidRPr="00CF35EE">
        <w:rPr>
          <w:rFonts w:ascii="Times New Roman" w:hAnsi="Times New Roman" w:cs="Times New Roman"/>
        </w:rPr>
        <w:t xml:space="preserve"> к </w:t>
      </w:r>
      <w:proofErr w:type="spellStart"/>
      <w:r w:rsidR="00CF35EE" w:rsidRPr="00CF35EE">
        <w:rPr>
          <w:rFonts w:ascii="Times New Roman" w:hAnsi="Times New Roman" w:cs="Times New Roman"/>
        </w:rPr>
        <w:t>технологической</w:t>
      </w:r>
      <w:proofErr w:type="spellEnd"/>
      <w:r w:rsidR="00CF35EE" w:rsidRPr="00CF35EE">
        <w:rPr>
          <w:rFonts w:ascii="Times New Roman" w:hAnsi="Times New Roman" w:cs="Times New Roman"/>
        </w:rPr>
        <w:t xml:space="preserve"> </w:t>
      </w:r>
      <w:proofErr w:type="spellStart"/>
      <w:r w:rsidR="00CF35EE" w:rsidRPr="00CF35EE">
        <w:rPr>
          <w:rFonts w:ascii="Times New Roman" w:hAnsi="Times New Roman" w:cs="Times New Roman"/>
        </w:rPr>
        <w:t>инфраструктуре</w:t>
      </w:r>
      <w:proofErr w:type="spellEnd"/>
    </w:p>
    <w:tbl>
      <w:tblPr>
        <w:tblW w:w="9484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8116"/>
      </w:tblGrid>
      <w:tr w:rsidR="005A1F0F" w:rsidRPr="00CF35EE" w14:paraId="5DB2555B" w14:textId="77777777" w:rsidTr="00F16B6B">
        <w:trPr>
          <w:trHeight w:val="163"/>
        </w:trPr>
        <w:tc>
          <w:tcPr>
            <w:tcW w:w="1368" w:type="dxa"/>
            <w:shd w:val="clear" w:color="auto" w:fill="BFBFBF" w:themeFill="background1" w:themeFillShade="BF"/>
          </w:tcPr>
          <w:p w14:paraId="42AFCF13" w14:textId="1695095C" w:rsidR="005A1F0F" w:rsidRPr="00CF35EE" w:rsidRDefault="00BE5F5A" w:rsidP="005A1F0F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Номер</w:t>
            </w:r>
            <w:proofErr w:type="spellEnd"/>
            <w:r w:rsidR="005A1F0F" w:rsidRPr="00CF35EE">
              <w:rPr>
                <w:rFonts w:ascii="Times New Roman" w:hAnsi="Times New Roman" w:cs="Times New Roman"/>
              </w:rPr>
              <w:t xml:space="preserve"> | </w:t>
            </w:r>
          </w:p>
        </w:tc>
        <w:tc>
          <w:tcPr>
            <w:tcW w:w="8116" w:type="dxa"/>
            <w:shd w:val="clear" w:color="auto" w:fill="BFBFBF" w:themeFill="background1" w:themeFillShade="BF"/>
          </w:tcPr>
          <w:p w14:paraId="6DA7E969" w14:textId="222F8BC7" w:rsidR="005A1F0F" w:rsidRPr="00CF35EE" w:rsidRDefault="005A1F0F" w:rsidP="005A1F0F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F35EE" w:rsidRPr="00CF35EE">
              <w:rPr>
                <w:rFonts w:ascii="Times New Roman" w:hAnsi="Times New Roman" w:cs="Times New Roman"/>
              </w:rPr>
              <w:t>Описание</w:t>
            </w:r>
            <w:proofErr w:type="spellEnd"/>
            <w:r w:rsidR="00CF35EE" w:rsidRPr="00CF35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F35EE" w:rsidRPr="00CF35EE">
              <w:rPr>
                <w:rFonts w:ascii="Times New Roman" w:hAnsi="Times New Roman" w:cs="Times New Roman"/>
              </w:rPr>
              <w:t>технических</w:t>
            </w:r>
            <w:proofErr w:type="spellEnd"/>
            <w:r w:rsidR="00CF35EE" w:rsidRPr="00CF35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F35EE" w:rsidRPr="00CF35EE">
              <w:rPr>
                <w:rFonts w:ascii="Times New Roman" w:hAnsi="Times New Roman" w:cs="Times New Roman"/>
              </w:rPr>
              <w:t>требований</w:t>
            </w:r>
            <w:proofErr w:type="spellEnd"/>
          </w:p>
        </w:tc>
      </w:tr>
      <w:tr w:rsidR="00AA6329" w:rsidRPr="006F319C" w14:paraId="7B948C8E" w14:textId="77777777" w:rsidTr="00F16B6B">
        <w:trPr>
          <w:trHeight w:val="1631"/>
        </w:trPr>
        <w:tc>
          <w:tcPr>
            <w:tcW w:w="1368" w:type="dxa"/>
          </w:tcPr>
          <w:p w14:paraId="5D2E79D3" w14:textId="77777777" w:rsidR="00AA6329" w:rsidRPr="00CF35EE" w:rsidRDefault="00AA6329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5B046B8B" w14:textId="527F9F52" w:rsidR="00AA6329" w:rsidRPr="00CF35EE" w:rsidRDefault="00116372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28</w:t>
            </w:r>
          </w:p>
          <w:p w14:paraId="4DA5F3C9" w14:textId="085FC5A8" w:rsidR="00AA6329" w:rsidRPr="00CF35EE" w:rsidRDefault="00AA6329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116" w:type="dxa"/>
          </w:tcPr>
          <w:p w14:paraId="14682D0A" w14:textId="6B8E732E" w:rsidR="00AA6329" w:rsidRPr="00CF35EE" w:rsidRDefault="00CF35EE" w:rsidP="0044711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 xml:space="preserve">Поставщик услуг должен разработать, создать и поддерживать безопасную и надежную технологическую среду, которая поддерживает все функции системы мониторинга, работает без перебоев и может удовлетворять как текущие потребности, так и будущие требования. Детали решения по восстановлению после сбоев будут согласованы с </w:t>
            </w:r>
            <w:r w:rsidRPr="00CF35EE">
              <w:rPr>
                <w:rFonts w:ascii="Times New Roman" w:hAnsi="Times New Roman" w:cs="Times New Roman"/>
              </w:rPr>
              <w:t>SRC</w:t>
            </w:r>
            <w:r w:rsidRPr="00CF35EE">
              <w:rPr>
                <w:rFonts w:ascii="Times New Roman" w:hAnsi="Times New Roman" w:cs="Times New Roman"/>
                <w:lang w:val="ru-RU"/>
              </w:rPr>
              <w:t xml:space="preserve"> на этапе внедрения.</w:t>
            </w:r>
          </w:p>
        </w:tc>
      </w:tr>
      <w:tr w:rsidR="00AA6329" w:rsidRPr="006F319C" w14:paraId="1EA9072C" w14:textId="77777777" w:rsidTr="00F16B6B">
        <w:trPr>
          <w:trHeight w:val="1631"/>
        </w:trPr>
        <w:tc>
          <w:tcPr>
            <w:tcW w:w="1368" w:type="dxa"/>
          </w:tcPr>
          <w:p w14:paraId="4A820157" w14:textId="3DC197E1" w:rsidR="00AA6329" w:rsidRPr="00CF35EE" w:rsidRDefault="00116372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29</w:t>
            </w:r>
          </w:p>
        </w:tc>
        <w:tc>
          <w:tcPr>
            <w:tcW w:w="8116" w:type="dxa"/>
          </w:tcPr>
          <w:p w14:paraId="787A55A5" w14:textId="5DF8D198" w:rsidR="00AA6329" w:rsidRPr="00CF35EE" w:rsidRDefault="00CF35EE" w:rsidP="0044711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>Поставщик услуг должен спроектировать и эксплуатировать систему таким образом, чтобы она продолжала функционировать во время технических сбоев в той мере, в какой это разумно достижимо, включая предоставление решения для аварийного восстановления, которое восстанавливает работу сервисов в течение требуемых целевых показателей времени восстановления (</w:t>
            </w:r>
            <w:r w:rsidRPr="00CF35EE">
              <w:rPr>
                <w:rFonts w:ascii="Times New Roman" w:hAnsi="Times New Roman" w:cs="Times New Roman"/>
              </w:rPr>
              <w:t>RTO</w:t>
            </w:r>
            <w:r w:rsidRPr="00CF35EE">
              <w:rPr>
                <w:rFonts w:ascii="Times New Roman" w:hAnsi="Times New Roman" w:cs="Times New Roman"/>
                <w:lang w:val="ru-RU"/>
              </w:rPr>
              <w:t>) и целевых показателей точки восстановления (</w:t>
            </w:r>
            <w:r w:rsidRPr="00CF35EE">
              <w:rPr>
                <w:rFonts w:ascii="Times New Roman" w:hAnsi="Times New Roman" w:cs="Times New Roman"/>
              </w:rPr>
              <w:t>RPO</w:t>
            </w:r>
            <w:r w:rsidRPr="00CF35EE">
              <w:rPr>
                <w:rFonts w:ascii="Times New Roman" w:hAnsi="Times New Roman" w:cs="Times New Roman"/>
                <w:lang w:val="ru-RU"/>
              </w:rPr>
              <w:t xml:space="preserve">). Параметры </w:t>
            </w:r>
            <w:r w:rsidRPr="00CF35EE">
              <w:rPr>
                <w:rFonts w:ascii="Times New Roman" w:hAnsi="Times New Roman" w:cs="Times New Roman"/>
              </w:rPr>
              <w:t>RTO</w:t>
            </w:r>
            <w:r w:rsidRPr="00CF35EE">
              <w:rPr>
                <w:rFonts w:ascii="Times New Roman" w:hAnsi="Times New Roman" w:cs="Times New Roman"/>
                <w:lang w:val="ru-RU"/>
              </w:rPr>
              <w:t>/</w:t>
            </w:r>
            <w:r w:rsidRPr="00CF35EE">
              <w:rPr>
                <w:rFonts w:ascii="Times New Roman" w:hAnsi="Times New Roman" w:cs="Times New Roman"/>
              </w:rPr>
              <w:t>RPO</w:t>
            </w:r>
            <w:r w:rsidRPr="00CF35EE">
              <w:rPr>
                <w:rFonts w:ascii="Times New Roman" w:hAnsi="Times New Roman" w:cs="Times New Roman"/>
                <w:lang w:val="ru-RU"/>
              </w:rPr>
              <w:t xml:space="preserve"> должны соответствовать отраслевым стандартам и быть согласованы с </w:t>
            </w:r>
            <w:r w:rsidRPr="00CF35EE">
              <w:rPr>
                <w:rFonts w:ascii="Times New Roman" w:hAnsi="Times New Roman" w:cs="Times New Roman"/>
              </w:rPr>
              <w:t>SRC</w:t>
            </w:r>
            <w:r w:rsidRPr="00CF35EE">
              <w:rPr>
                <w:rFonts w:ascii="Times New Roman" w:hAnsi="Times New Roman" w:cs="Times New Roman"/>
                <w:lang w:val="ru-RU"/>
              </w:rPr>
              <w:t xml:space="preserve"> на этапе внедрения.</w:t>
            </w:r>
          </w:p>
        </w:tc>
      </w:tr>
      <w:tr w:rsidR="00AA6329" w:rsidRPr="006F319C" w14:paraId="6C33F7E8" w14:textId="77777777" w:rsidTr="00F16B6B">
        <w:trPr>
          <w:trHeight w:val="588"/>
        </w:trPr>
        <w:tc>
          <w:tcPr>
            <w:tcW w:w="1368" w:type="dxa"/>
          </w:tcPr>
          <w:p w14:paraId="2C67B95D" w14:textId="15AA7400" w:rsidR="00AA6329" w:rsidRPr="00CF35EE" w:rsidRDefault="00116372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30</w:t>
            </w:r>
          </w:p>
        </w:tc>
        <w:tc>
          <w:tcPr>
            <w:tcW w:w="8116" w:type="dxa"/>
          </w:tcPr>
          <w:p w14:paraId="6633CC5D" w14:textId="7DF68F28" w:rsidR="00AA6329" w:rsidRPr="00CF35EE" w:rsidRDefault="00CF35EE" w:rsidP="0044711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 xml:space="preserve">Поставщик услуг обязан предоставлять и обслуживать все вычислительное, запоминающее и сетевое оборудование, необходимое для системы, в рамках </w:t>
            </w:r>
            <w:r w:rsidRPr="00CF35EE">
              <w:rPr>
                <w:rFonts w:ascii="Times New Roman" w:hAnsi="Times New Roman" w:cs="Times New Roman"/>
                <w:lang w:val="ru-RU"/>
              </w:rPr>
              <w:lastRenderedPageBreak/>
              <w:t>своей ответственности по Договору, используя надежные и резервные компоненты для минимизации риска сбоев и обеспечения высокой доступности и непрерывной работы в той мере, в какой это разумно достижимо.</w:t>
            </w:r>
          </w:p>
        </w:tc>
      </w:tr>
      <w:tr w:rsidR="00AA6329" w:rsidRPr="006F319C" w14:paraId="4D4AB1A6" w14:textId="77777777" w:rsidTr="00F16B6B">
        <w:trPr>
          <w:trHeight w:val="588"/>
        </w:trPr>
        <w:tc>
          <w:tcPr>
            <w:tcW w:w="1368" w:type="dxa"/>
          </w:tcPr>
          <w:p w14:paraId="6637E8F1" w14:textId="4C97673B" w:rsidR="00AA6329" w:rsidRPr="00CF35EE" w:rsidRDefault="00116372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31</w:t>
            </w:r>
          </w:p>
        </w:tc>
        <w:tc>
          <w:tcPr>
            <w:tcW w:w="8116" w:type="dxa"/>
          </w:tcPr>
          <w:p w14:paraId="27C1B508" w14:textId="28907782" w:rsidR="00AA6329" w:rsidRPr="00CF35EE" w:rsidRDefault="00CF35EE" w:rsidP="0044711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>Поставщик услуг должен создать и поддерживать три отдельные системные среды — производственную, тестовую и среду разработки — каждая из которых логически или физически изолирована от других и доступна только уполномоченному персоналу.</w:t>
            </w:r>
          </w:p>
        </w:tc>
      </w:tr>
      <w:tr w:rsidR="00AA6329" w:rsidRPr="006F319C" w14:paraId="23BD90DC" w14:textId="77777777" w:rsidTr="00F16B6B">
        <w:trPr>
          <w:trHeight w:val="588"/>
        </w:trPr>
        <w:tc>
          <w:tcPr>
            <w:tcW w:w="1368" w:type="dxa"/>
          </w:tcPr>
          <w:p w14:paraId="701F0F15" w14:textId="67778899" w:rsidR="00AA6329" w:rsidRPr="00CF35EE" w:rsidRDefault="00116372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32</w:t>
            </w:r>
          </w:p>
          <w:p w14:paraId="7D03FC4A" w14:textId="77777777" w:rsidR="00AA6329" w:rsidRPr="00CF35EE" w:rsidRDefault="00AA6329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116" w:type="dxa"/>
          </w:tcPr>
          <w:p w14:paraId="1CF2A556" w14:textId="621945D8" w:rsidR="00AA6329" w:rsidRPr="00CF35EE" w:rsidRDefault="00CF35EE" w:rsidP="0044711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>Поставщик услуг обязан защищать все системы и данные с помощью надежных мер кибербезопасности, включая контролируемый доступ, защищенную связь, шифрование хранимых и передаваемых данных, непрерывный мониторинг безопасности, обнаружение инцидентов и своевременное применение обновлений безопасности. Процессы сбора, обработки и хранения данных, а также требования к безопасности информационных систем должны соответствовать действующим правовым нормам, в частности положениям «Закона о публичной информации» и «Закона о кибербезопасности», а также другим применимым обязательным требованиям законодательства Республики Армения.</w:t>
            </w:r>
          </w:p>
        </w:tc>
      </w:tr>
      <w:tr w:rsidR="00AA6329" w:rsidRPr="006F319C" w14:paraId="1B499CF0" w14:textId="77777777" w:rsidTr="00F16B6B">
        <w:trPr>
          <w:trHeight w:val="588"/>
        </w:trPr>
        <w:tc>
          <w:tcPr>
            <w:tcW w:w="1368" w:type="dxa"/>
          </w:tcPr>
          <w:p w14:paraId="29EEDAEF" w14:textId="056E8966" w:rsidR="00AA6329" w:rsidRPr="00CF35EE" w:rsidRDefault="00116372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33</w:t>
            </w:r>
          </w:p>
        </w:tc>
        <w:tc>
          <w:tcPr>
            <w:tcW w:w="8116" w:type="dxa"/>
          </w:tcPr>
          <w:p w14:paraId="4B51C6EF" w14:textId="488ED81D" w:rsidR="00AA6329" w:rsidRPr="00CF35EE" w:rsidRDefault="00CF35EE" w:rsidP="0044711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 xml:space="preserve">Поставщик услуг обязан соблюдать стандарт информационной безопасности </w:t>
            </w:r>
            <w:r w:rsidRPr="00CF35EE">
              <w:rPr>
                <w:rFonts w:ascii="Times New Roman" w:hAnsi="Times New Roman" w:cs="Times New Roman"/>
              </w:rPr>
              <w:t>ISO</w:t>
            </w:r>
            <w:r w:rsidRPr="00CF35EE">
              <w:rPr>
                <w:rFonts w:ascii="Times New Roman" w:hAnsi="Times New Roman" w:cs="Times New Roman"/>
                <w:lang w:val="ru-RU"/>
              </w:rPr>
              <w:t xml:space="preserve"> 27001 и демонстрировать это соответствие посредством ежегодной сертификации аккредитованным внешним аудитором.</w:t>
            </w:r>
          </w:p>
        </w:tc>
      </w:tr>
    </w:tbl>
    <w:p w14:paraId="72165C0E" w14:textId="77777777" w:rsidR="00287AF8" w:rsidRPr="00CF35EE" w:rsidRDefault="00287AF8" w:rsidP="00447111">
      <w:pPr>
        <w:pStyle w:val="Default"/>
        <w:ind w:left="72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14:paraId="65FDE2A0" w14:textId="22722A6B" w:rsidR="00824F46" w:rsidRPr="00CF35EE" w:rsidRDefault="005A1F0F" w:rsidP="00447111">
      <w:pPr>
        <w:pStyle w:val="Default"/>
        <w:ind w:left="720"/>
        <w:jc w:val="both"/>
        <w:rPr>
          <w:rFonts w:ascii="Times New Roman" w:hAnsi="Times New Roman" w:cs="Times New Roman"/>
          <w:bCs/>
          <w:color w:val="000000" w:themeColor="text1"/>
          <w:lang w:val="ru-RU"/>
        </w:rPr>
      </w:pPr>
      <w:r w:rsidRPr="00CF35EE">
        <w:rPr>
          <w:rFonts w:ascii="Times New Roman" w:hAnsi="Times New Roman" w:cs="Times New Roman"/>
          <w:lang w:val="ru-RU"/>
        </w:rPr>
        <w:t xml:space="preserve">1.6. </w:t>
      </w:r>
      <w:r w:rsidR="00CF35EE" w:rsidRPr="00CF35EE">
        <w:rPr>
          <w:rFonts w:ascii="Times New Roman" w:hAnsi="Times New Roman" w:cs="Times New Roman"/>
          <w:lang w:val="ru-RU"/>
        </w:rPr>
        <w:t>Требования к базам данных и анализу данных</w:t>
      </w:r>
    </w:p>
    <w:tbl>
      <w:tblPr>
        <w:tblW w:w="9592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8224"/>
      </w:tblGrid>
      <w:tr w:rsidR="005A1F0F" w:rsidRPr="00CF35EE" w14:paraId="58967A0E" w14:textId="77777777" w:rsidTr="0069119C">
        <w:trPr>
          <w:trHeight w:val="150"/>
        </w:trPr>
        <w:tc>
          <w:tcPr>
            <w:tcW w:w="1368" w:type="dxa"/>
            <w:shd w:val="clear" w:color="auto" w:fill="BFBFBF" w:themeFill="background1" w:themeFillShade="BF"/>
          </w:tcPr>
          <w:p w14:paraId="57EC0B43" w14:textId="236973D5" w:rsidR="005A1F0F" w:rsidRPr="00CF35EE" w:rsidRDefault="00BE5F5A" w:rsidP="005A1F0F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Номер</w:t>
            </w:r>
            <w:proofErr w:type="spellEnd"/>
            <w:r w:rsidR="005A1F0F" w:rsidRPr="00CF35EE">
              <w:rPr>
                <w:rFonts w:ascii="Times New Roman" w:hAnsi="Times New Roman" w:cs="Times New Roman"/>
              </w:rPr>
              <w:t xml:space="preserve">| </w:t>
            </w:r>
          </w:p>
        </w:tc>
        <w:tc>
          <w:tcPr>
            <w:tcW w:w="8224" w:type="dxa"/>
            <w:shd w:val="clear" w:color="auto" w:fill="BFBFBF" w:themeFill="background1" w:themeFillShade="BF"/>
          </w:tcPr>
          <w:p w14:paraId="1578DBD7" w14:textId="631182B6" w:rsidR="005A1F0F" w:rsidRPr="00CF35EE" w:rsidRDefault="005A1F0F" w:rsidP="005A1F0F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F35EE" w:rsidRPr="00CF35EE">
              <w:rPr>
                <w:rFonts w:ascii="Times New Roman" w:hAnsi="Times New Roman" w:cs="Times New Roman"/>
              </w:rPr>
              <w:t>Описание</w:t>
            </w:r>
            <w:proofErr w:type="spellEnd"/>
            <w:r w:rsidR="00CF35EE" w:rsidRPr="00CF35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F35EE" w:rsidRPr="00CF35EE">
              <w:rPr>
                <w:rFonts w:ascii="Times New Roman" w:hAnsi="Times New Roman" w:cs="Times New Roman"/>
              </w:rPr>
              <w:t>технических</w:t>
            </w:r>
            <w:proofErr w:type="spellEnd"/>
            <w:r w:rsidR="00CF35EE" w:rsidRPr="00CF35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F35EE" w:rsidRPr="00CF35EE">
              <w:rPr>
                <w:rFonts w:ascii="Times New Roman" w:hAnsi="Times New Roman" w:cs="Times New Roman"/>
              </w:rPr>
              <w:t>требований</w:t>
            </w:r>
            <w:proofErr w:type="spellEnd"/>
          </w:p>
        </w:tc>
      </w:tr>
      <w:tr w:rsidR="00AA6329" w:rsidRPr="006F319C" w14:paraId="0E2B089B" w14:textId="77777777" w:rsidTr="0069119C">
        <w:trPr>
          <w:trHeight w:val="897"/>
        </w:trPr>
        <w:tc>
          <w:tcPr>
            <w:tcW w:w="1368" w:type="dxa"/>
          </w:tcPr>
          <w:p w14:paraId="1CAB8ACE" w14:textId="77777777" w:rsidR="00AA6329" w:rsidRPr="00CF35EE" w:rsidRDefault="00AA6329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7BF8AF70" w14:textId="44887A28" w:rsidR="00AA6329" w:rsidRPr="00CF35EE" w:rsidRDefault="00116372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34</w:t>
            </w:r>
          </w:p>
          <w:p w14:paraId="0E9AD718" w14:textId="77777777" w:rsidR="00AA6329" w:rsidRPr="00CF35EE" w:rsidRDefault="00AA6329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224" w:type="dxa"/>
          </w:tcPr>
          <w:p w14:paraId="653A71C2" w14:textId="342A9EE3" w:rsidR="00AA6329" w:rsidRPr="00CF35EE" w:rsidRDefault="00CF35EE" w:rsidP="0044711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>Поставщик услуг обязан создать и поддерживать безопасную и надежную систему хранения данных, которая будет хранить все собранные данные об игровой активности, обеспечивать высокую доступность операций и защищать данные от потери, повреждения или несанкционированного доступа. Система должна гарантировать, что база данных и аналитические инструменты смогут обрабатывать пиковые операционные нагрузки, учитывать рост объемов данных с течением времени и поддерживать новые типы игровых данных, вводимые в течение срока действия договора.</w:t>
            </w:r>
          </w:p>
        </w:tc>
      </w:tr>
      <w:tr w:rsidR="00AA6329" w:rsidRPr="006F319C" w14:paraId="2E85101A" w14:textId="77777777" w:rsidTr="0069119C">
        <w:trPr>
          <w:trHeight w:val="683"/>
        </w:trPr>
        <w:tc>
          <w:tcPr>
            <w:tcW w:w="1368" w:type="dxa"/>
          </w:tcPr>
          <w:p w14:paraId="282E7C2B" w14:textId="3D805E5B" w:rsidR="00AA6329" w:rsidRPr="00CF35EE" w:rsidRDefault="00116372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35</w:t>
            </w:r>
          </w:p>
        </w:tc>
        <w:tc>
          <w:tcPr>
            <w:tcW w:w="8224" w:type="dxa"/>
          </w:tcPr>
          <w:p w14:paraId="1A5E4B8D" w14:textId="3BC7ADB6" w:rsidR="00AA6329" w:rsidRPr="00CF35EE" w:rsidRDefault="00CF35EE" w:rsidP="0044711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 xml:space="preserve">Поставщик услуг должен предоставить инструменты, позволяющие Государственному комитету по доходам </w:t>
            </w:r>
            <w:r w:rsidRPr="00CF35EE">
              <w:rPr>
                <w:rFonts w:ascii="Times New Roman" w:hAnsi="Times New Roman" w:cs="Times New Roman"/>
              </w:rPr>
              <w:t>RA</w:t>
            </w:r>
            <w:r w:rsidRPr="00CF35EE">
              <w:rPr>
                <w:rFonts w:ascii="Times New Roman" w:hAnsi="Times New Roman" w:cs="Times New Roman"/>
                <w:lang w:val="ru-RU"/>
              </w:rPr>
              <w:t xml:space="preserve"> анализировать данные об азартных играх, отслеживать тенденции, проводить аудиты и своевременно и эффективно формировать отчеты, необходимые для надзора, соблюдения нормативных требований и принятия решений.</w:t>
            </w:r>
          </w:p>
        </w:tc>
      </w:tr>
      <w:tr w:rsidR="00AA6329" w:rsidRPr="006F319C" w14:paraId="7363D397" w14:textId="77777777" w:rsidTr="0069119C">
        <w:trPr>
          <w:trHeight w:val="683"/>
        </w:trPr>
        <w:tc>
          <w:tcPr>
            <w:tcW w:w="1368" w:type="dxa"/>
          </w:tcPr>
          <w:p w14:paraId="79E0A1C4" w14:textId="332035DD" w:rsidR="00AA6329" w:rsidRPr="00CF35EE" w:rsidRDefault="00116372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36</w:t>
            </w:r>
          </w:p>
        </w:tc>
        <w:tc>
          <w:tcPr>
            <w:tcW w:w="8224" w:type="dxa"/>
          </w:tcPr>
          <w:p w14:paraId="39AADBCF" w14:textId="39B7F286" w:rsidR="00AA6329" w:rsidRPr="00CF35EE" w:rsidRDefault="00CF35EE" w:rsidP="0044711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>Поставщик услуг обязан обеспечить полноту, точность и согласованность всех хранимых данных, а также внедрить автоматизированные проверки для обнаружения и пометки отсутствующих, дублирующихся или ошибочных данных.</w:t>
            </w:r>
          </w:p>
        </w:tc>
      </w:tr>
    </w:tbl>
    <w:p w14:paraId="41C791E8" w14:textId="77777777" w:rsidR="00824F46" w:rsidRPr="00CF35EE" w:rsidRDefault="00824F46" w:rsidP="00447111">
      <w:pPr>
        <w:pStyle w:val="Default"/>
        <w:ind w:left="72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14:paraId="203550AB" w14:textId="77777777" w:rsidR="00F16B6B" w:rsidRPr="00CF35EE" w:rsidRDefault="00F16B6B" w:rsidP="00447111">
      <w:pPr>
        <w:pStyle w:val="Default"/>
        <w:ind w:left="72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p w14:paraId="22EE5D77" w14:textId="116BBFD0" w:rsidR="00287AF8" w:rsidRPr="00CF35EE" w:rsidRDefault="005A1F0F" w:rsidP="00EE4FD7">
      <w:pPr>
        <w:jc w:val="both"/>
        <w:rPr>
          <w:rFonts w:ascii="Times New Roman" w:hAnsi="Times New Roman" w:cs="Times New Roman"/>
          <w:bCs/>
          <w:color w:val="000000" w:themeColor="text1"/>
          <w:kern w:val="0"/>
          <w:lang w:val="ru-RU"/>
        </w:rPr>
      </w:pPr>
      <w:r w:rsidRPr="00CF35EE">
        <w:rPr>
          <w:rFonts w:ascii="Times New Roman" w:hAnsi="Times New Roman" w:cs="Times New Roman"/>
          <w:lang w:val="ru-RU"/>
        </w:rPr>
        <w:t xml:space="preserve">1.7. </w:t>
      </w:r>
      <w:r w:rsidR="00EE4FD7" w:rsidRPr="00CF35EE">
        <w:rPr>
          <w:rFonts w:ascii="Times New Roman" w:hAnsi="Times New Roman" w:cs="Times New Roman"/>
          <w:lang w:val="ru-RU"/>
        </w:rPr>
        <w:t>Системные требования к спискам исключений</w:t>
      </w:r>
    </w:p>
    <w:tbl>
      <w:tblPr>
        <w:tblW w:w="9568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440"/>
        <w:gridCol w:w="6760"/>
      </w:tblGrid>
      <w:tr w:rsidR="00EE4FD7" w:rsidRPr="00CF35EE" w14:paraId="212096E7" w14:textId="77777777" w:rsidTr="00F16B6B">
        <w:trPr>
          <w:trHeight w:val="303"/>
        </w:trPr>
        <w:tc>
          <w:tcPr>
            <w:tcW w:w="1368" w:type="dxa"/>
            <w:shd w:val="clear" w:color="auto" w:fill="BFBFBF" w:themeFill="background1" w:themeFillShade="BF"/>
          </w:tcPr>
          <w:p w14:paraId="2D845B99" w14:textId="422E1023" w:rsidR="00EE4FD7" w:rsidRPr="00CF35EE" w:rsidRDefault="00BE5F5A" w:rsidP="00EE4FD7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Номер</w:t>
            </w:r>
            <w:proofErr w:type="spellEnd"/>
          </w:p>
        </w:tc>
        <w:tc>
          <w:tcPr>
            <w:tcW w:w="1440" w:type="dxa"/>
            <w:shd w:val="clear" w:color="auto" w:fill="BFBFBF" w:themeFill="background1" w:themeFillShade="BF"/>
          </w:tcPr>
          <w:p w14:paraId="49BACD5B" w14:textId="019B835F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</w:rPr>
              <w:t>Обязательное</w:t>
            </w:r>
            <w:proofErr w:type="spellEnd"/>
            <w:r w:rsidRPr="00CF35EE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CF35EE">
              <w:rPr>
                <w:rFonts w:ascii="Times New Roman" w:hAnsi="Times New Roman" w:cs="Times New Roman"/>
              </w:rPr>
              <w:t>Необязательное</w:t>
            </w:r>
            <w:proofErr w:type="spellEnd"/>
          </w:p>
        </w:tc>
        <w:tc>
          <w:tcPr>
            <w:tcW w:w="6760" w:type="dxa"/>
            <w:shd w:val="clear" w:color="auto" w:fill="BFBFBF" w:themeFill="background1" w:themeFillShade="BF"/>
          </w:tcPr>
          <w:p w14:paraId="1E64EE8F" w14:textId="45A7CE2B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</w:rPr>
              <w:t xml:space="preserve">| </w:t>
            </w:r>
            <w:proofErr w:type="spellStart"/>
            <w:r w:rsidRPr="00CF35EE">
              <w:rPr>
                <w:rFonts w:ascii="Times New Roman" w:hAnsi="Times New Roman" w:cs="Times New Roman"/>
              </w:rPr>
              <w:t>описание</w:t>
            </w:r>
            <w:proofErr w:type="spellEnd"/>
            <w:r w:rsidRPr="00CF35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</w:rPr>
              <w:t>технических</w:t>
            </w:r>
            <w:proofErr w:type="spellEnd"/>
            <w:r w:rsidRPr="00CF35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</w:rPr>
              <w:t>требований</w:t>
            </w:r>
            <w:proofErr w:type="spellEnd"/>
          </w:p>
        </w:tc>
      </w:tr>
      <w:tr w:rsidR="00EE4FD7" w:rsidRPr="006F319C" w14:paraId="64A5C039" w14:textId="77777777" w:rsidTr="00395E7D">
        <w:trPr>
          <w:trHeight w:val="441"/>
        </w:trPr>
        <w:tc>
          <w:tcPr>
            <w:tcW w:w="1368" w:type="dxa"/>
          </w:tcPr>
          <w:p w14:paraId="2CA35BEB" w14:textId="77777777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120A23A9" w14:textId="0A24F64D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37</w:t>
            </w:r>
          </w:p>
          <w:p w14:paraId="72961038" w14:textId="77777777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40" w:type="dxa"/>
          </w:tcPr>
          <w:p w14:paraId="01F92B42" w14:textId="28FD0C9D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</w:rPr>
              <w:t>Обязательно</w:t>
            </w:r>
            <w:proofErr w:type="spellEnd"/>
          </w:p>
        </w:tc>
        <w:tc>
          <w:tcPr>
            <w:tcW w:w="6760" w:type="dxa"/>
          </w:tcPr>
          <w:p w14:paraId="4EFD40A4" w14:textId="65214F36" w:rsidR="00EE4FD7" w:rsidRPr="00CF35EE" w:rsidRDefault="00CF35EE" w:rsidP="00EE4FD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>Система должна поддерживать создание, управление и безопасное хранение национального списка лиц, которым запрещено играть в азартные игры, а также предоставлять операторам надежный метод проверки того, запрещено ли конкретному лицу играть.</w:t>
            </w:r>
          </w:p>
        </w:tc>
      </w:tr>
      <w:tr w:rsidR="00EE4FD7" w:rsidRPr="006F319C" w14:paraId="46CC674D" w14:textId="77777777" w:rsidTr="00395E7D">
        <w:trPr>
          <w:trHeight w:val="762"/>
        </w:trPr>
        <w:tc>
          <w:tcPr>
            <w:tcW w:w="1368" w:type="dxa"/>
          </w:tcPr>
          <w:p w14:paraId="2A59D605" w14:textId="4A5E37D7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38</w:t>
            </w:r>
          </w:p>
        </w:tc>
        <w:tc>
          <w:tcPr>
            <w:tcW w:w="1440" w:type="dxa"/>
          </w:tcPr>
          <w:p w14:paraId="537447EB" w14:textId="4DA6634B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</w:rPr>
              <w:t>Обязательно</w:t>
            </w:r>
            <w:proofErr w:type="spellEnd"/>
          </w:p>
        </w:tc>
        <w:tc>
          <w:tcPr>
            <w:tcW w:w="6760" w:type="dxa"/>
          </w:tcPr>
          <w:p w14:paraId="79798ABD" w14:textId="4ADE0665" w:rsidR="00EE4FD7" w:rsidRPr="00CF35EE" w:rsidRDefault="00CF35EE" w:rsidP="00EE4FD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 xml:space="preserve">Система должна хранить только минимальное количество персональных данных, необходимое для проверки того, находится ли человек в списке лиц, которым запрещено пользоваться услугами. Объем персональных данных будет согласован между </w:t>
            </w:r>
            <w:r w:rsidRPr="00CF35EE">
              <w:rPr>
                <w:rFonts w:ascii="Times New Roman" w:hAnsi="Times New Roman" w:cs="Times New Roman"/>
              </w:rPr>
              <w:t>SRC</w:t>
            </w:r>
            <w:r w:rsidRPr="00CF35EE">
              <w:rPr>
                <w:rFonts w:ascii="Times New Roman" w:hAnsi="Times New Roman" w:cs="Times New Roman"/>
                <w:lang w:val="ru-RU"/>
              </w:rPr>
              <w:t xml:space="preserve"> и поставщиком услуг на этапе внедрения.</w:t>
            </w:r>
          </w:p>
        </w:tc>
      </w:tr>
      <w:tr w:rsidR="00EE4FD7" w:rsidRPr="006F319C" w14:paraId="76A0D246" w14:textId="77777777" w:rsidTr="00395E7D">
        <w:trPr>
          <w:trHeight w:val="510"/>
        </w:trPr>
        <w:tc>
          <w:tcPr>
            <w:tcW w:w="1368" w:type="dxa"/>
          </w:tcPr>
          <w:p w14:paraId="68C358EC" w14:textId="7D56D533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39</w:t>
            </w:r>
          </w:p>
        </w:tc>
        <w:tc>
          <w:tcPr>
            <w:tcW w:w="1440" w:type="dxa"/>
          </w:tcPr>
          <w:p w14:paraId="29374B00" w14:textId="342E5A0F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</w:rPr>
              <w:t>Обязательно</w:t>
            </w:r>
            <w:proofErr w:type="spellEnd"/>
          </w:p>
        </w:tc>
        <w:tc>
          <w:tcPr>
            <w:tcW w:w="6760" w:type="dxa"/>
          </w:tcPr>
          <w:p w14:paraId="4944FCBE" w14:textId="36051DE1" w:rsidR="00EE4FD7" w:rsidRPr="00CF35EE" w:rsidRDefault="00CF35EE" w:rsidP="00EE4FD7">
            <w:pPr>
              <w:pStyle w:val="NormalWeb"/>
              <w:jc w:val="both"/>
              <w:rPr>
                <w:color w:val="000000" w:themeColor="text1"/>
                <w:lang w:val="ru-RU"/>
              </w:rPr>
            </w:pPr>
            <w:r w:rsidRPr="00CF35EE">
              <w:rPr>
                <w:lang w:val="ru-RU"/>
              </w:rPr>
              <w:t>Вся персональная информация, используемая для составления списка исключений, будет храниться исключительно на территории Республики Армения.</w:t>
            </w:r>
          </w:p>
        </w:tc>
      </w:tr>
      <w:tr w:rsidR="00EE4FD7" w:rsidRPr="006F319C" w14:paraId="628453BF" w14:textId="77777777" w:rsidTr="00F16B6B">
        <w:trPr>
          <w:trHeight w:val="587"/>
        </w:trPr>
        <w:tc>
          <w:tcPr>
            <w:tcW w:w="1368" w:type="dxa"/>
          </w:tcPr>
          <w:p w14:paraId="3874AA10" w14:textId="073DF0D4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40</w:t>
            </w:r>
          </w:p>
        </w:tc>
        <w:tc>
          <w:tcPr>
            <w:tcW w:w="1440" w:type="dxa"/>
          </w:tcPr>
          <w:p w14:paraId="6EAD0B77" w14:textId="0282D12F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</w:rPr>
              <w:t>Обязательно</w:t>
            </w:r>
            <w:proofErr w:type="spellEnd"/>
          </w:p>
        </w:tc>
        <w:tc>
          <w:tcPr>
            <w:tcW w:w="6760" w:type="dxa"/>
          </w:tcPr>
          <w:p w14:paraId="7F9DC465" w14:textId="53DA53B6" w:rsidR="00EE4FD7" w:rsidRPr="00CF35EE" w:rsidRDefault="00CF35EE" w:rsidP="00EE4FD7">
            <w:pPr>
              <w:pStyle w:val="NormalWeb"/>
              <w:jc w:val="both"/>
              <w:rPr>
                <w:color w:val="000000" w:themeColor="text1"/>
                <w:lang w:val="ru-RU"/>
              </w:rPr>
            </w:pPr>
            <w:r w:rsidRPr="00CF35EE">
              <w:rPr>
                <w:lang w:val="ru-RU"/>
              </w:rPr>
              <w:t>Система должна позволять Комитету по государственным доходам Республики Армения определять роли и права доступа, а также контролировать, какие пользователи могут просматривать, добавлять или удалять лиц из списка лиц, которым запрещен доступ.</w:t>
            </w:r>
          </w:p>
        </w:tc>
      </w:tr>
      <w:tr w:rsidR="00EE4FD7" w:rsidRPr="006F319C" w14:paraId="1C30704F" w14:textId="77777777" w:rsidTr="00F16B6B">
        <w:trPr>
          <w:trHeight w:val="732"/>
        </w:trPr>
        <w:tc>
          <w:tcPr>
            <w:tcW w:w="1368" w:type="dxa"/>
          </w:tcPr>
          <w:p w14:paraId="503507C2" w14:textId="53D307D4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auto"/>
              </w:rPr>
            </w:pPr>
            <w:r w:rsidRPr="00CF35EE">
              <w:rPr>
                <w:rFonts w:ascii="Times New Roman" w:hAnsi="Times New Roman" w:cs="Times New Roman"/>
                <w:bCs/>
                <w:color w:val="auto"/>
              </w:rPr>
              <w:t>41</w:t>
            </w:r>
          </w:p>
          <w:p w14:paraId="1A345824" w14:textId="77777777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40" w:type="dxa"/>
          </w:tcPr>
          <w:p w14:paraId="65261772" w14:textId="5CCCC327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</w:rPr>
              <w:t>Обязательно</w:t>
            </w:r>
            <w:proofErr w:type="spellEnd"/>
          </w:p>
        </w:tc>
        <w:tc>
          <w:tcPr>
            <w:tcW w:w="6760" w:type="dxa"/>
          </w:tcPr>
          <w:p w14:paraId="015E5D5D" w14:textId="51578324" w:rsidR="00EE4FD7" w:rsidRPr="00CF35EE" w:rsidRDefault="00CF35EE" w:rsidP="00EE4FD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>Все действия, выполняемые в системе, должны регистрироваться, включая идентификацию пользователя и временные метки, и эти журналы должны предоставляться по запросу Государственному комитету по доходам Республики Армения в соответствии с процедурами аудита.</w:t>
            </w:r>
          </w:p>
        </w:tc>
      </w:tr>
      <w:tr w:rsidR="00EE4FD7" w:rsidRPr="006F319C" w14:paraId="1E0F9725" w14:textId="77777777" w:rsidTr="00F16B6B">
        <w:trPr>
          <w:trHeight w:val="295"/>
        </w:trPr>
        <w:tc>
          <w:tcPr>
            <w:tcW w:w="1368" w:type="dxa"/>
          </w:tcPr>
          <w:p w14:paraId="0F9E6614" w14:textId="26ABBCD2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42</w:t>
            </w:r>
          </w:p>
        </w:tc>
        <w:tc>
          <w:tcPr>
            <w:tcW w:w="1440" w:type="dxa"/>
          </w:tcPr>
          <w:p w14:paraId="4ABED802" w14:textId="3EF9CCA3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</w:rPr>
              <w:t>Обязательно</w:t>
            </w:r>
            <w:proofErr w:type="spellEnd"/>
          </w:p>
        </w:tc>
        <w:tc>
          <w:tcPr>
            <w:tcW w:w="6760" w:type="dxa"/>
          </w:tcPr>
          <w:p w14:paraId="1671928B" w14:textId="27CCD91C" w:rsidR="00EE4FD7" w:rsidRPr="00CF35EE" w:rsidRDefault="00CF35EE" w:rsidP="00EE4FD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>Система должна включать в себя надежные меры кибербезопасности для защиты персональной информации от несанкционированного доступа, кибератак и внутреннего неправомерного использования, включая шифрование данных при передаче и хранении, а также обеспечение безопасной связи.</w:t>
            </w:r>
          </w:p>
        </w:tc>
      </w:tr>
      <w:tr w:rsidR="00EE4FD7" w:rsidRPr="006F319C" w14:paraId="14C9DD04" w14:textId="77777777" w:rsidTr="00F16B6B">
        <w:trPr>
          <w:trHeight w:val="295"/>
        </w:trPr>
        <w:tc>
          <w:tcPr>
            <w:tcW w:w="1368" w:type="dxa"/>
          </w:tcPr>
          <w:p w14:paraId="6D9488D5" w14:textId="1AB4D0A8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43</w:t>
            </w:r>
          </w:p>
        </w:tc>
        <w:tc>
          <w:tcPr>
            <w:tcW w:w="1440" w:type="dxa"/>
          </w:tcPr>
          <w:p w14:paraId="76523B74" w14:textId="12599C54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</w:rPr>
              <w:t>Обязательно</w:t>
            </w:r>
            <w:proofErr w:type="spellEnd"/>
          </w:p>
        </w:tc>
        <w:tc>
          <w:tcPr>
            <w:tcW w:w="6760" w:type="dxa"/>
          </w:tcPr>
          <w:p w14:paraId="4BBFB685" w14:textId="3C6A9CF1" w:rsidR="00EE4FD7" w:rsidRPr="00CF35EE" w:rsidRDefault="00CF35EE" w:rsidP="00EE4FD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>Система должна соответствовать требованиям защиты данных, включая сроки хранения данных, безопасное удаление, если это разрешено, и контролируемый доступ к конфиденциальной информации.</w:t>
            </w:r>
          </w:p>
        </w:tc>
      </w:tr>
      <w:tr w:rsidR="00EE4FD7" w:rsidRPr="006F319C" w14:paraId="77BF8586" w14:textId="77777777" w:rsidTr="00E2722E">
        <w:trPr>
          <w:trHeight w:val="755"/>
        </w:trPr>
        <w:tc>
          <w:tcPr>
            <w:tcW w:w="1368" w:type="dxa"/>
            <w:tcBorders>
              <w:bottom w:val="single" w:sz="4" w:space="0" w:color="auto"/>
            </w:tcBorders>
          </w:tcPr>
          <w:p w14:paraId="298F539F" w14:textId="389A742C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44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7A87C1A4" w14:textId="2B7D4364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</w:rPr>
              <w:t>Обязательно</w:t>
            </w:r>
            <w:proofErr w:type="spellEnd"/>
          </w:p>
        </w:tc>
        <w:tc>
          <w:tcPr>
            <w:tcW w:w="6760" w:type="dxa"/>
            <w:tcBorders>
              <w:bottom w:val="single" w:sz="4" w:space="0" w:color="auto"/>
            </w:tcBorders>
          </w:tcPr>
          <w:p w14:paraId="451CAA56" w14:textId="54F11BA6" w:rsidR="00EE4FD7" w:rsidRPr="00CF35EE" w:rsidRDefault="00CF35EE" w:rsidP="00EE4FD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 xml:space="preserve">Система должна поддерживать как автоматическое, так и ручное резервное копирование всех данных списка исключений, при этом резервные копии должны надежно храниться на физической инфраструктуре, предоставленной </w:t>
            </w:r>
            <w:r w:rsidRPr="00CF35EE">
              <w:rPr>
                <w:rFonts w:ascii="Times New Roman" w:hAnsi="Times New Roman" w:cs="Times New Roman"/>
              </w:rPr>
              <w:t>SRC</w:t>
            </w:r>
            <w:r w:rsidRPr="00CF35EE">
              <w:rPr>
                <w:rFonts w:ascii="Times New Roman" w:hAnsi="Times New Roman" w:cs="Times New Roman"/>
                <w:lang w:val="ru-RU"/>
              </w:rPr>
              <w:t>, как описано в требованиях к инфраструктуре выше.</w:t>
            </w:r>
          </w:p>
        </w:tc>
      </w:tr>
      <w:tr w:rsidR="00CF35EE" w:rsidRPr="006F319C" w14:paraId="62988CE6" w14:textId="77777777" w:rsidTr="00395E7D">
        <w:trPr>
          <w:trHeight w:val="647"/>
        </w:trPr>
        <w:tc>
          <w:tcPr>
            <w:tcW w:w="1368" w:type="dxa"/>
            <w:tcBorders>
              <w:bottom w:val="nil"/>
            </w:tcBorders>
          </w:tcPr>
          <w:p w14:paraId="015467F7" w14:textId="3B363D95" w:rsidR="00CF35EE" w:rsidRPr="00CF35EE" w:rsidRDefault="00CF35EE" w:rsidP="00CF35EE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45</w:t>
            </w:r>
          </w:p>
        </w:tc>
        <w:tc>
          <w:tcPr>
            <w:tcW w:w="1440" w:type="dxa"/>
            <w:tcBorders>
              <w:bottom w:val="nil"/>
            </w:tcBorders>
          </w:tcPr>
          <w:p w14:paraId="1E251073" w14:textId="317CEB0A" w:rsidR="00CF35EE" w:rsidRPr="00CF35EE" w:rsidRDefault="00CF35EE" w:rsidP="00CF35EE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</w:rPr>
              <w:t>Обязательно</w:t>
            </w:r>
            <w:proofErr w:type="spellEnd"/>
          </w:p>
        </w:tc>
        <w:tc>
          <w:tcPr>
            <w:tcW w:w="6760" w:type="dxa"/>
            <w:tcBorders>
              <w:bottom w:val="nil"/>
            </w:tcBorders>
          </w:tcPr>
          <w:p w14:paraId="0EF4DB95" w14:textId="20B020D2" w:rsidR="00CF35EE" w:rsidRPr="00CF35EE" w:rsidRDefault="00CF35EE" w:rsidP="00CF35EE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>Комитет по государственным доходам Республики Армения имеет доступ и право проверять всех своих пользователей, настройки разрешений и журналы транзакций.</w:t>
            </w:r>
          </w:p>
        </w:tc>
      </w:tr>
      <w:tr w:rsidR="00CF35EE" w:rsidRPr="006F319C" w14:paraId="0B439DC4" w14:textId="77777777" w:rsidTr="00395E7D">
        <w:trPr>
          <w:trHeight w:val="1455"/>
        </w:trPr>
        <w:tc>
          <w:tcPr>
            <w:tcW w:w="1368" w:type="dxa"/>
          </w:tcPr>
          <w:p w14:paraId="4A59409A" w14:textId="2C38C3C5" w:rsidR="00CF35EE" w:rsidRPr="00CF35EE" w:rsidRDefault="00CF35EE" w:rsidP="00CF35EE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46</w:t>
            </w:r>
          </w:p>
        </w:tc>
        <w:tc>
          <w:tcPr>
            <w:tcW w:w="1440" w:type="dxa"/>
          </w:tcPr>
          <w:p w14:paraId="5D101DF9" w14:textId="75B7FE52" w:rsidR="00CF35EE" w:rsidRPr="00CF35EE" w:rsidRDefault="00CF35EE" w:rsidP="00CF35EE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</w:rPr>
              <w:t>Обязательно</w:t>
            </w:r>
            <w:proofErr w:type="spellEnd"/>
          </w:p>
        </w:tc>
        <w:tc>
          <w:tcPr>
            <w:tcW w:w="6760" w:type="dxa"/>
          </w:tcPr>
          <w:p w14:paraId="4E5AC4FB" w14:textId="1F85D612" w:rsidR="00CF35EE" w:rsidRPr="00CF35EE" w:rsidRDefault="00CF35EE" w:rsidP="00CF35EE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>Поставщик услуг должен интегрировать свое решение с государственным реестром физических лиц для поддержки подсистемы списка исключений игроков, включая биометрическую верификацию в режиме реального времени, защищенно подключенную к реестру населения. Подсистема должна включать программный интерфейс (</w:t>
            </w:r>
            <w:r w:rsidRPr="00CF35EE">
              <w:rPr>
                <w:rFonts w:ascii="Times New Roman" w:hAnsi="Times New Roman" w:cs="Times New Roman"/>
              </w:rPr>
              <w:t>API</w:t>
            </w:r>
            <w:r w:rsidRPr="00CF35EE">
              <w:rPr>
                <w:rFonts w:ascii="Times New Roman" w:hAnsi="Times New Roman" w:cs="Times New Roman"/>
                <w:lang w:val="ru-RU"/>
              </w:rPr>
              <w:t>), позволяющий интегрироваться с системами операторов для определения того, разрешено ли человеку играть. Требование должно быть выполнено в соответствии с возможностями соответствующих государственных и сторонних систем.</w:t>
            </w:r>
          </w:p>
        </w:tc>
      </w:tr>
      <w:tr w:rsidR="00EE4FD7" w:rsidRPr="006F319C" w14:paraId="31F96F1F" w14:textId="77777777" w:rsidTr="00395E7D">
        <w:trPr>
          <w:trHeight w:val="690"/>
        </w:trPr>
        <w:tc>
          <w:tcPr>
            <w:tcW w:w="1368" w:type="dxa"/>
          </w:tcPr>
          <w:p w14:paraId="3C080DBE" w14:textId="05DB766D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47</w:t>
            </w:r>
          </w:p>
          <w:p w14:paraId="1C040BF1" w14:textId="77777777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40" w:type="dxa"/>
          </w:tcPr>
          <w:p w14:paraId="624ACED3" w14:textId="7AC48E8D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</w:rPr>
              <w:t>Обязательно</w:t>
            </w:r>
            <w:proofErr w:type="spellEnd"/>
          </w:p>
        </w:tc>
        <w:tc>
          <w:tcPr>
            <w:tcW w:w="6760" w:type="dxa"/>
          </w:tcPr>
          <w:p w14:paraId="6AED7048" w14:textId="47C70B34" w:rsidR="00EE4FD7" w:rsidRPr="00CF35EE" w:rsidRDefault="00CF35EE" w:rsidP="00EE4FD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>В предложение должно быть включено все оборудование и программное обеспечение, необходимые для первоначальной настройки системы мониторинга.</w:t>
            </w:r>
          </w:p>
        </w:tc>
      </w:tr>
      <w:tr w:rsidR="00EE4FD7" w:rsidRPr="006F319C" w14:paraId="4CA466F8" w14:textId="77777777" w:rsidTr="00F9186F">
        <w:trPr>
          <w:trHeight w:val="1160"/>
        </w:trPr>
        <w:tc>
          <w:tcPr>
            <w:tcW w:w="1368" w:type="dxa"/>
          </w:tcPr>
          <w:p w14:paraId="3B705F61" w14:textId="516C98A1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48</w:t>
            </w:r>
          </w:p>
          <w:p w14:paraId="6107EADF" w14:textId="77777777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40" w:type="dxa"/>
          </w:tcPr>
          <w:p w14:paraId="07CA56AA" w14:textId="796A8F96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</w:rPr>
              <w:t>Обязательно</w:t>
            </w:r>
            <w:proofErr w:type="spellEnd"/>
          </w:p>
        </w:tc>
        <w:tc>
          <w:tcPr>
            <w:tcW w:w="6760" w:type="dxa"/>
          </w:tcPr>
          <w:p w14:paraId="786B6F94" w14:textId="5DE0D2B3" w:rsidR="00EE4FD7" w:rsidRPr="00CF35EE" w:rsidRDefault="00CF35EE" w:rsidP="00EE4FD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>Уполномоченные пользователи Государственного налогового комитета Республики Армения смогут добавлять или удалять лиц из списка лиц, подлежащих исключению, а операторы смогут подавать запросы на добавление лиц в список лиц, подлежащих исключению, при условии проверки и утверждения Государственным налоговым комитетом Республики Армения до активации. Процесс должен включать возможность импорта списка лиц, подлежащих исключению, в указанном формате.</w:t>
            </w:r>
          </w:p>
        </w:tc>
      </w:tr>
      <w:tr w:rsidR="00EE4FD7" w:rsidRPr="006F319C" w14:paraId="1E50CA11" w14:textId="77777777" w:rsidTr="00395E7D">
        <w:trPr>
          <w:trHeight w:val="403"/>
        </w:trPr>
        <w:tc>
          <w:tcPr>
            <w:tcW w:w="1368" w:type="dxa"/>
          </w:tcPr>
          <w:p w14:paraId="0DCB5F89" w14:textId="5D75C222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49</w:t>
            </w:r>
          </w:p>
        </w:tc>
        <w:tc>
          <w:tcPr>
            <w:tcW w:w="1440" w:type="dxa"/>
          </w:tcPr>
          <w:p w14:paraId="4E1CCA15" w14:textId="6CB1B3FE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</w:rPr>
              <w:t>Обязательно</w:t>
            </w:r>
            <w:proofErr w:type="spellEnd"/>
          </w:p>
        </w:tc>
        <w:tc>
          <w:tcPr>
            <w:tcW w:w="6760" w:type="dxa"/>
          </w:tcPr>
          <w:p w14:paraId="41817420" w14:textId="24CA7701" w:rsidR="00EE4FD7" w:rsidRPr="00CF35EE" w:rsidRDefault="00CF35EE" w:rsidP="00EE4FD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>Поставщик услуг должен предоставить защищенный интерфейс, позволяющий операторам в режиме реального времени проверять (включая биометрическую верификацию), находится ли человек в списке лиц, которым запрещен въезд, используя только минимально необходимую для проверки информацию, поддерживаемую возможностями соответствующих государственных и сторонних систем.</w:t>
            </w:r>
          </w:p>
        </w:tc>
      </w:tr>
      <w:tr w:rsidR="00EE4FD7" w:rsidRPr="00CF35EE" w14:paraId="2B2DF36D" w14:textId="77777777" w:rsidTr="00395E7D">
        <w:trPr>
          <w:trHeight w:val="403"/>
        </w:trPr>
        <w:tc>
          <w:tcPr>
            <w:tcW w:w="1368" w:type="dxa"/>
          </w:tcPr>
          <w:p w14:paraId="1C64AADF" w14:textId="561061CC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50</w:t>
            </w:r>
          </w:p>
          <w:p w14:paraId="5CFBE56E" w14:textId="77777777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40" w:type="dxa"/>
          </w:tcPr>
          <w:p w14:paraId="469DA48C" w14:textId="2390B97C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</w:rPr>
              <w:t>Обязательно</w:t>
            </w:r>
            <w:proofErr w:type="spellEnd"/>
          </w:p>
        </w:tc>
        <w:tc>
          <w:tcPr>
            <w:tcW w:w="6760" w:type="dxa"/>
          </w:tcPr>
          <w:p w14:paraId="28BE64CE" w14:textId="34A34672" w:rsidR="00EE4FD7" w:rsidRPr="00CF35EE" w:rsidRDefault="00CF35EE" w:rsidP="00EE4FD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>Поставщик услуг обязан использовать внешние источники данных (такие как государственный реестр физических лиц) системы управления идентификацией по мере необходимости для поддержки операций в рамках данного проекта, при условии, что возможности соответствующих государственных и сторонних систем позволяют такую ​​</w:t>
            </w:r>
            <w:proofErr w:type="spellStart"/>
            <w:r w:rsidRPr="00CF35EE">
              <w:rPr>
                <w:rFonts w:ascii="Times New Roman" w:hAnsi="Times New Roman" w:cs="Times New Roman"/>
              </w:rPr>
              <w:t>интеграцию</w:t>
            </w:r>
            <w:proofErr w:type="spellEnd"/>
            <w:r w:rsidRPr="00CF35E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CF35EE">
              <w:rPr>
                <w:rFonts w:ascii="Times New Roman" w:hAnsi="Times New Roman" w:cs="Times New Roman"/>
              </w:rPr>
              <w:t>предоставляется</w:t>
            </w:r>
            <w:proofErr w:type="spellEnd"/>
            <w:r w:rsidRPr="00CF35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</w:rPr>
              <w:t>соответствующая</w:t>
            </w:r>
            <w:proofErr w:type="spellEnd"/>
            <w:r w:rsidRPr="00CF35E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</w:rPr>
              <w:t>поддержка</w:t>
            </w:r>
            <w:proofErr w:type="spellEnd"/>
            <w:r w:rsidRPr="00CF35EE">
              <w:rPr>
                <w:rFonts w:ascii="Times New Roman" w:hAnsi="Times New Roman" w:cs="Times New Roman"/>
              </w:rPr>
              <w:t>.</w:t>
            </w:r>
          </w:p>
        </w:tc>
      </w:tr>
      <w:tr w:rsidR="00EE4FD7" w:rsidRPr="006F319C" w14:paraId="6444A9B1" w14:textId="77777777" w:rsidTr="00395E7D">
        <w:trPr>
          <w:trHeight w:val="403"/>
        </w:trPr>
        <w:tc>
          <w:tcPr>
            <w:tcW w:w="1368" w:type="dxa"/>
          </w:tcPr>
          <w:p w14:paraId="1CE0661B" w14:textId="33F499FD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51</w:t>
            </w:r>
          </w:p>
          <w:p w14:paraId="67B9D48D" w14:textId="77777777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40" w:type="dxa"/>
          </w:tcPr>
          <w:p w14:paraId="5F1C0EA5" w14:textId="697DABA8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</w:rPr>
              <w:t>Обязательно</w:t>
            </w:r>
            <w:proofErr w:type="spellEnd"/>
          </w:p>
        </w:tc>
        <w:tc>
          <w:tcPr>
            <w:tcW w:w="6760" w:type="dxa"/>
          </w:tcPr>
          <w:p w14:paraId="526ABF95" w14:textId="66A6B10F" w:rsidR="00EE4FD7" w:rsidRPr="00CF35EE" w:rsidRDefault="00CF35EE" w:rsidP="00EE4FD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>Система должна предоставлять отчеты и статистику об использовании списка исключений, включая количество проведенных проверок и количество попыток исключенных лиц принять участие в игровой деятельности.</w:t>
            </w:r>
          </w:p>
        </w:tc>
      </w:tr>
    </w:tbl>
    <w:p w14:paraId="392EE117" w14:textId="77777777" w:rsidR="00663CC6" w:rsidRPr="00CF35EE" w:rsidRDefault="00663CC6" w:rsidP="00447111">
      <w:pPr>
        <w:pStyle w:val="Default"/>
        <w:ind w:left="720"/>
        <w:jc w:val="both"/>
        <w:rPr>
          <w:rFonts w:ascii="Times New Roman" w:hAnsi="Times New Roman" w:cs="Times New Roman"/>
          <w:bCs/>
          <w:color w:val="000000" w:themeColor="text1"/>
          <w:lang w:val="ru-RU"/>
        </w:rPr>
      </w:pPr>
    </w:p>
    <w:p w14:paraId="78F810EF" w14:textId="380BDD9D" w:rsidR="004B689C" w:rsidRPr="00CF35EE" w:rsidRDefault="00EE4FD7" w:rsidP="00447111">
      <w:pPr>
        <w:pStyle w:val="Default"/>
        <w:jc w:val="both"/>
        <w:rPr>
          <w:rFonts w:ascii="Times New Roman" w:hAnsi="Times New Roman" w:cs="Times New Roman"/>
          <w:bCs/>
          <w:color w:val="000000" w:themeColor="text1"/>
          <w:lang w:val="ru-RU"/>
        </w:rPr>
      </w:pPr>
      <w:r w:rsidRPr="00CF35EE">
        <w:rPr>
          <w:rFonts w:ascii="Times New Roman" w:hAnsi="Times New Roman" w:cs="Times New Roman"/>
          <w:lang w:val="ru-RU"/>
        </w:rPr>
        <w:t>1.8. Требования к аудиту и соблюдению нормативных требований</w:t>
      </w:r>
    </w:p>
    <w:tbl>
      <w:tblPr>
        <w:tblW w:w="9568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440"/>
        <w:gridCol w:w="6760"/>
      </w:tblGrid>
      <w:tr w:rsidR="007D37A3" w:rsidRPr="00CF35EE" w14:paraId="2D7369AE" w14:textId="77777777" w:rsidTr="0069119C">
        <w:trPr>
          <w:trHeight w:val="302"/>
        </w:trPr>
        <w:tc>
          <w:tcPr>
            <w:tcW w:w="1368" w:type="dxa"/>
            <w:shd w:val="clear" w:color="auto" w:fill="BFBFBF" w:themeFill="background1" w:themeFillShade="BF"/>
          </w:tcPr>
          <w:p w14:paraId="5FAE89B9" w14:textId="3203083D" w:rsidR="007D37A3" w:rsidRPr="00CF35EE" w:rsidRDefault="00BE5F5A" w:rsidP="007D37A3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lang w:val="ru-RU"/>
              </w:rPr>
              <w:t>Номер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14:paraId="45E6636F" w14:textId="486B9A17" w:rsidR="007D37A3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>Обязательное / Необязательное</w:t>
            </w:r>
          </w:p>
        </w:tc>
        <w:tc>
          <w:tcPr>
            <w:tcW w:w="6760" w:type="dxa"/>
            <w:shd w:val="clear" w:color="auto" w:fill="BFBFBF" w:themeFill="background1" w:themeFillShade="BF"/>
          </w:tcPr>
          <w:p w14:paraId="32818260" w14:textId="7E109C97" w:rsidR="007D37A3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lang w:val="ru-RU"/>
              </w:rPr>
              <w:t>| описание технических требований</w:t>
            </w:r>
          </w:p>
        </w:tc>
      </w:tr>
      <w:tr w:rsidR="00EE4FD7" w:rsidRPr="006F319C" w14:paraId="29C36E2A" w14:textId="77777777" w:rsidTr="00464E85">
        <w:trPr>
          <w:trHeight w:val="260"/>
        </w:trPr>
        <w:tc>
          <w:tcPr>
            <w:tcW w:w="1368" w:type="dxa"/>
          </w:tcPr>
          <w:p w14:paraId="58427AAF" w14:textId="77777777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  <w:p w14:paraId="09697467" w14:textId="19E5473D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52</w:t>
            </w:r>
          </w:p>
          <w:p w14:paraId="1D2401E5" w14:textId="37A5372D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40" w:type="dxa"/>
          </w:tcPr>
          <w:p w14:paraId="0969790C" w14:textId="4279E1AB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</w:rPr>
              <w:t>Обязательно</w:t>
            </w:r>
            <w:proofErr w:type="spellEnd"/>
          </w:p>
        </w:tc>
        <w:tc>
          <w:tcPr>
            <w:tcW w:w="6760" w:type="dxa"/>
          </w:tcPr>
          <w:p w14:paraId="13C28DB7" w14:textId="67BE7B64" w:rsidR="00EE4FD7" w:rsidRPr="00CF35EE" w:rsidRDefault="00EE4FD7" w:rsidP="00EE4FD7">
            <w:pPr>
              <w:pStyle w:val="NormalWeb"/>
              <w:jc w:val="both"/>
              <w:rPr>
                <w:lang w:val="ru-RU"/>
              </w:rPr>
            </w:pPr>
            <w:r w:rsidRPr="00CF35EE">
              <w:rPr>
                <w:lang w:val="ru-RU"/>
              </w:rPr>
              <w:t>Модуль аудита и соответствия требованиям призван оказывать поддержку Государственному комитету по доходам Республики Армения в надзоре за операторами игорного бизнеса, управлении деятельностью по обеспечению соответствия требованиям и документировании результатов аудита на основе данных, собранных из системы мониторинга, отчетов и выявленных событий.</w:t>
            </w:r>
          </w:p>
        </w:tc>
      </w:tr>
      <w:tr w:rsidR="00EE4FD7" w:rsidRPr="006F319C" w14:paraId="22D8B002" w14:textId="77777777" w:rsidTr="00464E85">
        <w:trPr>
          <w:trHeight w:val="260"/>
        </w:trPr>
        <w:tc>
          <w:tcPr>
            <w:tcW w:w="1368" w:type="dxa"/>
          </w:tcPr>
          <w:p w14:paraId="40E43185" w14:textId="49C1F2DE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53</w:t>
            </w:r>
          </w:p>
        </w:tc>
        <w:tc>
          <w:tcPr>
            <w:tcW w:w="1440" w:type="dxa"/>
          </w:tcPr>
          <w:p w14:paraId="0D4CA066" w14:textId="3B437DC7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</w:rPr>
              <w:t>Обязательно</w:t>
            </w:r>
            <w:proofErr w:type="spellEnd"/>
          </w:p>
        </w:tc>
        <w:tc>
          <w:tcPr>
            <w:tcW w:w="6760" w:type="dxa"/>
          </w:tcPr>
          <w:p w14:paraId="4FB21DCE" w14:textId="23120CFB" w:rsidR="00EE4FD7" w:rsidRPr="00CF35EE" w:rsidRDefault="00EE4FD7" w:rsidP="00EE4FD7">
            <w:pPr>
              <w:pStyle w:val="NormalWeb"/>
              <w:jc w:val="both"/>
              <w:rPr>
                <w:color w:val="000000" w:themeColor="text1"/>
                <w:lang w:val="ru-RU"/>
              </w:rPr>
            </w:pPr>
            <w:r w:rsidRPr="00CF35EE">
              <w:rPr>
                <w:lang w:val="ru-RU"/>
              </w:rPr>
              <w:t>Модуль должен позволять поставщику услуг поддерживать, искать и обновлять ключевую информацию о каждом операторе, включая контактные данные, тип лицензии, статус и даты обновления, обеспечивая при этом доступ Государственного комитета по доходам Республики Армения к такой информации в соответствии с определенными ролями и разрешениями.</w:t>
            </w:r>
          </w:p>
        </w:tc>
      </w:tr>
      <w:tr w:rsidR="00EE4FD7" w:rsidRPr="006F319C" w14:paraId="0FE66902" w14:textId="77777777" w:rsidTr="00464E85">
        <w:trPr>
          <w:trHeight w:val="260"/>
        </w:trPr>
        <w:tc>
          <w:tcPr>
            <w:tcW w:w="1368" w:type="dxa"/>
          </w:tcPr>
          <w:p w14:paraId="56A6CDA5" w14:textId="22A1DBF8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54</w:t>
            </w:r>
          </w:p>
        </w:tc>
        <w:tc>
          <w:tcPr>
            <w:tcW w:w="1440" w:type="dxa"/>
          </w:tcPr>
          <w:p w14:paraId="582C1B51" w14:textId="6F2C7654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</w:rPr>
              <w:t>Обязательно</w:t>
            </w:r>
            <w:proofErr w:type="spellEnd"/>
          </w:p>
        </w:tc>
        <w:tc>
          <w:tcPr>
            <w:tcW w:w="6760" w:type="dxa"/>
          </w:tcPr>
          <w:p w14:paraId="2F20CD3D" w14:textId="6A85A51E" w:rsidR="00EE4FD7" w:rsidRPr="00CF35EE" w:rsidRDefault="00EE4FD7" w:rsidP="00EE4FD7">
            <w:pPr>
              <w:pStyle w:val="NormalWeb"/>
              <w:jc w:val="both"/>
              <w:rPr>
                <w:lang w:val="ru-RU"/>
              </w:rPr>
            </w:pPr>
            <w:r w:rsidRPr="00CF35EE">
              <w:rPr>
                <w:lang w:val="ru-RU"/>
              </w:rPr>
              <w:t>Модуль должен обеспечивать отслеживание игровых продуктов и устройств, используемых операторами, включая модель, версию, серийный номер, статус и историю утверждений.</w:t>
            </w:r>
          </w:p>
        </w:tc>
      </w:tr>
      <w:tr w:rsidR="00EE4FD7" w:rsidRPr="006F319C" w14:paraId="7E6A7EE7" w14:textId="77777777" w:rsidTr="00464E85">
        <w:trPr>
          <w:trHeight w:val="260"/>
        </w:trPr>
        <w:tc>
          <w:tcPr>
            <w:tcW w:w="1368" w:type="dxa"/>
          </w:tcPr>
          <w:p w14:paraId="2909BC46" w14:textId="7E2BA805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55</w:t>
            </w:r>
          </w:p>
        </w:tc>
        <w:tc>
          <w:tcPr>
            <w:tcW w:w="1440" w:type="dxa"/>
          </w:tcPr>
          <w:p w14:paraId="7588A3CA" w14:textId="659955C8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</w:rPr>
              <w:t>Обязательно</w:t>
            </w:r>
            <w:proofErr w:type="spellEnd"/>
          </w:p>
        </w:tc>
        <w:tc>
          <w:tcPr>
            <w:tcW w:w="6760" w:type="dxa"/>
          </w:tcPr>
          <w:p w14:paraId="16007ED6" w14:textId="44D03B81" w:rsidR="00EE4FD7" w:rsidRPr="00CF35EE" w:rsidRDefault="00EE4FD7" w:rsidP="00EE4FD7">
            <w:pPr>
              <w:pStyle w:val="NormalWeb"/>
              <w:jc w:val="both"/>
              <w:rPr>
                <w:lang w:val="ru-RU"/>
              </w:rPr>
            </w:pPr>
            <w:r w:rsidRPr="00CF35EE">
              <w:rPr>
                <w:lang w:val="ru-RU"/>
              </w:rPr>
              <w:t>Система должна позволять подавать заявки на утверждение игровых продуктов и отслеживать статус их утверждения.</w:t>
            </w:r>
          </w:p>
        </w:tc>
      </w:tr>
      <w:tr w:rsidR="00EE4FD7" w:rsidRPr="006F319C" w14:paraId="03FC092E" w14:textId="77777777" w:rsidTr="00395E7D">
        <w:trPr>
          <w:trHeight w:val="260"/>
        </w:trPr>
        <w:tc>
          <w:tcPr>
            <w:tcW w:w="1368" w:type="dxa"/>
          </w:tcPr>
          <w:p w14:paraId="6A9ED3DB" w14:textId="6BD9BEE0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56</w:t>
            </w:r>
          </w:p>
          <w:p w14:paraId="4113C6BF" w14:textId="6766B79C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40" w:type="dxa"/>
          </w:tcPr>
          <w:p w14:paraId="2EBC66DA" w14:textId="39B9B867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</w:rPr>
              <w:t>Обязательно</w:t>
            </w:r>
            <w:proofErr w:type="spellEnd"/>
          </w:p>
        </w:tc>
        <w:tc>
          <w:tcPr>
            <w:tcW w:w="6760" w:type="dxa"/>
          </w:tcPr>
          <w:p w14:paraId="0CC28E64" w14:textId="06D91BA0" w:rsidR="00EE4FD7" w:rsidRPr="00CF35EE" w:rsidRDefault="00EE4FD7" w:rsidP="00EE4FD7">
            <w:pPr>
              <w:pStyle w:val="NormalWeb"/>
              <w:jc w:val="both"/>
              <w:rPr>
                <w:lang w:val="ru-RU"/>
              </w:rPr>
            </w:pPr>
            <w:r w:rsidRPr="00CF35EE">
              <w:rPr>
                <w:lang w:val="ru-RU"/>
              </w:rPr>
              <w:t>Система должна вести учет официальной переписки с операторами по вопросам аудита и соблюдения нормативных требований.</w:t>
            </w:r>
          </w:p>
        </w:tc>
      </w:tr>
      <w:tr w:rsidR="00EE4FD7" w:rsidRPr="006F319C" w14:paraId="0E1C4CB1" w14:textId="77777777" w:rsidTr="00395E7D">
        <w:trPr>
          <w:trHeight w:val="260"/>
        </w:trPr>
        <w:tc>
          <w:tcPr>
            <w:tcW w:w="1368" w:type="dxa"/>
          </w:tcPr>
          <w:p w14:paraId="58950C15" w14:textId="2620C2C6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57</w:t>
            </w:r>
          </w:p>
        </w:tc>
        <w:tc>
          <w:tcPr>
            <w:tcW w:w="1440" w:type="dxa"/>
          </w:tcPr>
          <w:p w14:paraId="68FD70D2" w14:textId="5EE55242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</w:rPr>
              <w:t>Обязательно</w:t>
            </w:r>
            <w:proofErr w:type="spellEnd"/>
          </w:p>
        </w:tc>
        <w:tc>
          <w:tcPr>
            <w:tcW w:w="6760" w:type="dxa"/>
          </w:tcPr>
          <w:p w14:paraId="5DDE1768" w14:textId="56C291C5" w:rsidR="00EE4FD7" w:rsidRPr="00CF35EE" w:rsidRDefault="00EE4FD7" w:rsidP="00EE4FD7">
            <w:pPr>
              <w:pStyle w:val="NormalWeb"/>
              <w:jc w:val="both"/>
              <w:rPr>
                <w:color w:val="000000" w:themeColor="text1"/>
                <w:lang w:val="ru-RU"/>
              </w:rPr>
            </w:pPr>
            <w:r w:rsidRPr="00CF35EE">
              <w:rPr>
                <w:lang w:val="ru-RU"/>
              </w:rPr>
              <w:t>Модуль должен предоставлять Государственному комитету по доходам Республики Армения информацию для планирования аудитов, регистрации результатов, загрузки подтверждающих документов, назначения действий и отслеживания решения вопросов соблюдения нормативных требований на основе данных, предоставляемых системой мониторинга.</w:t>
            </w:r>
          </w:p>
        </w:tc>
      </w:tr>
      <w:tr w:rsidR="00EE4FD7" w:rsidRPr="006F319C" w14:paraId="30B0B4E0" w14:textId="77777777" w:rsidTr="00395E7D">
        <w:trPr>
          <w:trHeight w:val="260"/>
        </w:trPr>
        <w:tc>
          <w:tcPr>
            <w:tcW w:w="1368" w:type="dxa"/>
          </w:tcPr>
          <w:p w14:paraId="6C6DA1E2" w14:textId="5769398C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58</w:t>
            </w:r>
          </w:p>
        </w:tc>
        <w:tc>
          <w:tcPr>
            <w:tcW w:w="1440" w:type="dxa"/>
          </w:tcPr>
          <w:p w14:paraId="44E84653" w14:textId="20B5AD19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</w:rPr>
              <w:t>Обязательно</w:t>
            </w:r>
            <w:proofErr w:type="spellEnd"/>
          </w:p>
        </w:tc>
        <w:tc>
          <w:tcPr>
            <w:tcW w:w="6760" w:type="dxa"/>
          </w:tcPr>
          <w:p w14:paraId="1DDEB54C" w14:textId="5424E10C" w:rsidR="00EE4FD7" w:rsidRPr="00CF35EE" w:rsidRDefault="00EE4FD7" w:rsidP="00EE4FD7">
            <w:pPr>
              <w:pStyle w:val="NormalWeb"/>
              <w:jc w:val="both"/>
              <w:rPr>
                <w:color w:val="000000" w:themeColor="text1"/>
                <w:lang w:val="ru-RU"/>
              </w:rPr>
            </w:pPr>
            <w:r w:rsidRPr="00CF35EE">
              <w:rPr>
                <w:lang w:val="ru-RU"/>
              </w:rPr>
              <w:t>Данный модуль призван содействовать выявлению и отслеживанию потенциальных нарушений законодательства, включая предоставление соответствующих данных, оповещений и аналитических инструментов для оказания помощи Государственному комитету по доходам в его надзорной деятельности.</w:t>
            </w:r>
          </w:p>
        </w:tc>
      </w:tr>
      <w:tr w:rsidR="00EE4FD7" w:rsidRPr="006F319C" w14:paraId="49D53D42" w14:textId="77777777" w:rsidTr="00395E7D">
        <w:trPr>
          <w:trHeight w:val="260"/>
        </w:trPr>
        <w:tc>
          <w:tcPr>
            <w:tcW w:w="1368" w:type="dxa"/>
          </w:tcPr>
          <w:p w14:paraId="61D71A2F" w14:textId="2852AE75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59</w:t>
            </w:r>
          </w:p>
        </w:tc>
        <w:tc>
          <w:tcPr>
            <w:tcW w:w="1440" w:type="dxa"/>
          </w:tcPr>
          <w:p w14:paraId="14147590" w14:textId="46735B72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</w:rPr>
              <w:t>Обязательно</w:t>
            </w:r>
            <w:proofErr w:type="spellEnd"/>
          </w:p>
        </w:tc>
        <w:tc>
          <w:tcPr>
            <w:tcW w:w="6760" w:type="dxa"/>
          </w:tcPr>
          <w:p w14:paraId="6FEECBC8" w14:textId="58DC9389" w:rsidR="00EE4FD7" w:rsidRPr="00CF35EE" w:rsidRDefault="00EE4FD7" w:rsidP="00EE4FD7">
            <w:pPr>
              <w:pStyle w:val="NormalWeb"/>
              <w:jc w:val="both"/>
              <w:rPr>
                <w:lang w:val="ru-RU"/>
              </w:rPr>
            </w:pPr>
            <w:r w:rsidRPr="00CF35EE">
              <w:rPr>
                <w:lang w:val="ru-RU"/>
              </w:rPr>
              <w:t>Модуль должен предоставлять Государственному комитету по доходам Республики Армения информационные панели и отчеты на основе данных, генерируемых системой мониторинга, которые могут использоваться для оценки состояния соблюдения требований, эффективности, хода аудита, нерешенных вопросов и ключевых показателей.</w:t>
            </w:r>
          </w:p>
        </w:tc>
      </w:tr>
      <w:tr w:rsidR="00EE4FD7" w:rsidRPr="006F319C" w14:paraId="427067C4" w14:textId="77777777" w:rsidTr="00395E7D">
        <w:trPr>
          <w:trHeight w:val="260"/>
        </w:trPr>
        <w:tc>
          <w:tcPr>
            <w:tcW w:w="1368" w:type="dxa"/>
          </w:tcPr>
          <w:p w14:paraId="3C7FC0C9" w14:textId="6104C612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60</w:t>
            </w:r>
          </w:p>
        </w:tc>
        <w:tc>
          <w:tcPr>
            <w:tcW w:w="1440" w:type="dxa"/>
          </w:tcPr>
          <w:p w14:paraId="0C13BE8E" w14:textId="44E46449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</w:rPr>
              <w:t>Обязательно</w:t>
            </w:r>
            <w:proofErr w:type="spellEnd"/>
          </w:p>
        </w:tc>
        <w:tc>
          <w:tcPr>
            <w:tcW w:w="6760" w:type="dxa"/>
          </w:tcPr>
          <w:p w14:paraId="6C8217C3" w14:textId="6784A4EF" w:rsidR="00EE4FD7" w:rsidRPr="00CF35EE" w:rsidRDefault="00EE4FD7" w:rsidP="00EE4FD7">
            <w:pPr>
              <w:pStyle w:val="NormalWeb"/>
              <w:jc w:val="both"/>
              <w:rPr>
                <w:color w:val="000000" w:themeColor="text1"/>
                <w:lang w:val="ru-RU"/>
              </w:rPr>
            </w:pPr>
            <w:r w:rsidRPr="00CF35EE">
              <w:rPr>
                <w:lang w:val="ru-RU"/>
              </w:rPr>
              <w:t>Модуль должен позволять загрузку, хранение и поиск документов, связанных с аудитами, результатами соблюдения требований, утверждениями продукции и перепиской с операторами.</w:t>
            </w:r>
          </w:p>
        </w:tc>
      </w:tr>
      <w:tr w:rsidR="00EE4FD7" w:rsidRPr="006F319C" w14:paraId="7497536D" w14:textId="77777777" w:rsidTr="00395E7D">
        <w:trPr>
          <w:trHeight w:val="260"/>
        </w:trPr>
        <w:tc>
          <w:tcPr>
            <w:tcW w:w="1368" w:type="dxa"/>
          </w:tcPr>
          <w:p w14:paraId="1ABDB6E4" w14:textId="0070E78C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61</w:t>
            </w:r>
          </w:p>
        </w:tc>
        <w:tc>
          <w:tcPr>
            <w:tcW w:w="1440" w:type="dxa"/>
          </w:tcPr>
          <w:p w14:paraId="7B1E001F" w14:textId="4E76A359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</w:rPr>
              <w:t>Обязательно</w:t>
            </w:r>
            <w:proofErr w:type="spellEnd"/>
          </w:p>
        </w:tc>
        <w:tc>
          <w:tcPr>
            <w:tcW w:w="6760" w:type="dxa"/>
          </w:tcPr>
          <w:p w14:paraId="48F7A769" w14:textId="159C7A31" w:rsidR="00EE4FD7" w:rsidRPr="00CF35EE" w:rsidRDefault="00EE4FD7" w:rsidP="00EE4FD7">
            <w:pPr>
              <w:pStyle w:val="NormalWeb"/>
              <w:jc w:val="both"/>
              <w:rPr>
                <w:color w:val="000000" w:themeColor="text1"/>
                <w:lang w:val="ru-RU"/>
              </w:rPr>
            </w:pPr>
            <w:r w:rsidRPr="00CF35EE">
              <w:rPr>
                <w:bCs/>
                <w:lang w:val="ru-RU"/>
              </w:rPr>
              <w:t>Если компетентный орган предоставляет соответствующие данные, система может также поддерживать уведомления, касающиеся статуса лицензии, включая срок ее действия.</w:t>
            </w:r>
          </w:p>
        </w:tc>
      </w:tr>
      <w:tr w:rsidR="00EE4FD7" w:rsidRPr="006F319C" w14:paraId="618064AA" w14:textId="77777777" w:rsidTr="00395E7D">
        <w:trPr>
          <w:trHeight w:val="260"/>
        </w:trPr>
        <w:tc>
          <w:tcPr>
            <w:tcW w:w="1368" w:type="dxa"/>
          </w:tcPr>
          <w:p w14:paraId="535F6BCD" w14:textId="72981358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62</w:t>
            </w:r>
          </w:p>
        </w:tc>
        <w:tc>
          <w:tcPr>
            <w:tcW w:w="1440" w:type="dxa"/>
          </w:tcPr>
          <w:p w14:paraId="0EB77237" w14:textId="26D1C209" w:rsidR="00EE4FD7" w:rsidRPr="00CF35EE" w:rsidRDefault="00EE4FD7" w:rsidP="00EE4FD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</w:rPr>
              <w:t>Обязательно</w:t>
            </w:r>
            <w:proofErr w:type="spellEnd"/>
          </w:p>
        </w:tc>
        <w:tc>
          <w:tcPr>
            <w:tcW w:w="6760" w:type="dxa"/>
          </w:tcPr>
          <w:p w14:paraId="2EA55A2F" w14:textId="034AA576" w:rsidR="00EE4FD7" w:rsidRPr="00CF35EE" w:rsidRDefault="00EE4FD7" w:rsidP="00EE4FD7">
            <w:pPr>
              <w:pStyle w:val="NormalWeb"/>
              <w:jc w:val="both"/>
              <w:rPr>
                <w:color w:val="000000" w:themeColor="text1"/>
                <w:lang w:val="ru-RU"/>
              </w:rPr>
            </w:pPr>
            <w:r w:rsidRPr="00CF35EE">
              <w:rPr>
                <w:lang w:val="ru-RU"/>
              </w:rPr>
              <w:t>Модуль должен получать соответствующую информацию от Центральной системы мониторинга, такую ​​как статус устройства, отсутствующие данные, при условии, что последовательность транзакций реализована, подозрительные закономерности, которые могут указывать на мошенничество или отмывание денег, нарушения списков исключений и другие индикаторы, необходимые для проведения проверок на соответствие требованиям, включая правила борьбы с мошенничеством и противодействия отмыванию денег.</w:t>
            </w:r>
          </w:p>
        </w:tc>
      </w:tr>
      <w:tr w:rsidR="00D80F11" w:rsidRPr="006F319C" w14:paraId="697C652E" w14:textId="77777777" w:rsidTr="00395E7D">
        <w:trPr>
          <w:trHeight w:val="260"/>
        </w:trPr>
        <w:tc>
          <w:tcPr>
            <w:tcW w:w="1368" w:type="dxa"/>
          </w:tcPr>
          <w:p w14:paraId="72B57BF7" w14:textId="7BAD7E69" w:rsidR="00D80F11" w:rsidRPr="00CF35EE" w:rsidRDefault="00692332" w:rsidP="00447111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63</w:t>
            </w:r>
          </w:p>
        </w:tc>
        <w:tc>
          <w:tcPr>
            <w:tcW w:w="1440" w:type="dxa"/>
          </w:tcPr>
          <w:p w14:paraId="3761B8B4" w14:textId="607E8419" w:rsidR="00D80F11" w:rsidRPr="00CF35EE" w:rsidRDefault="00EE4FD7" w:rsidP="00447111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</w:rPr>
              <w:t>Обязательно</w:t>
            </w:r>
            <w:proofErr w:type="spellEnd"/>
          </w:p>
        </w:tc>
        <w:tc>
          <w:tcPr>
            <w:tcW w:w="6760" w:type="dxa"/>
          </w:tcPr>
          <w:p w14:paraId="3AF7A28A" w14:textId="03F3D27B" w:rsidR="00D80F11" w:rsidRPr="00CF35EE" w:rsidRDefault="00EE4FD7" w:rsidP="00447111">
            <w:pPr>
              <w:pStyle w:val="NormalWeb"/>
              <w:jc w:val="both"/>
              <w:rPr>
                <w:color w:val="000000" w:themeColor="text1"/>
                <w:lang w:val="ru-RU"/>
              </w:rPr>
            </w:pPr>
            <w:r w:rsidRPr="00CF35EE">
              <w:rPr>
                <w:lang w:val="ru-RU"/>
              </w:rPr>
              <w:t>Доступ к функциям и информации модуля контролируется ролями и правами доступа пользователей. Роли и права доступа для пользователей Государственного налогового комитета РА определяются Государственным налоговым комитетом, а поставщик услуг управляет правами доступа для своего уполномоченного персонала в соответствии с согласованными политиками управления и безопасности.</w:t>
            </w:r>
          </w:p>
        </w:tc>
      </w:tr>
    </w:tbl>
    <w:p w14:paraId="4965FC14" w14:textId="77777777" w:rsidR="00C11770" w:rsidRPr="00CF35EE" w:rsidRDefault="00C11770" w:rsidP="00447111">
      <w:pPr>
        <w:pStyle w:val="Default"/>
        <w:jc w:val="both"/>
        <w:rPr>
          <w:rFonts w:ascii="Times New Roman" w:hAnsi="Times New Roman" w:cs="Times New Roman"/>
          <w:bCs/>
          <w:color w:val="000000" w:themeColor="text1"/>
          <w:lang w:val="ru-RU"/>
        </w:rPr>
        <w:sectPr w:rsidR="00C11770" w:rsidRPr="00CF35E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B8ED859" w14:textId="2FF24E7D" w:rsidR="00EE4FD7" w:rsidRPr="00CF35EE" w:rsidRDefault="00EE4FD7" w:rsidP="00447111">
      <w:pPr>
        <w:pStyle w:val="Default"/>
        <w:ind w:left="360"/>
        <w:jc w:val="both"/>
        <w:rPr>
          <w:rFonts w:ascii="Times New Roman" w:hAnsi="Times New Roman" w:cs="Times New Roman"/>
          <w:lang w:val="ru-RU"/>
        </w:rPr>
      </w:pPr>
      <w:r w:rsidRPr="00CF35EE">
        <w:rPr>
          <w:rFonts w:ascii="Times New Roman" w:hAnsi="Times New Roman" w:cs="Times New Roman"/>
          <w:lang w:val="ru-RU"/>
        </w:rPr>
        <w:lastRenderedPageBreak/>
        <w:t>2. Ключевые показатели эффективности (</w:t>
      </w:r>
      <w:r w:rsidRPr="00CF35EE">
        <w:rPr>
          <w:rFonts w:ascii="Times New Roman" w:hAnsi="Times New Roman" w:cs="Times New Roman"/>
        </w:rPr>
        <w:t>KPI</w:t>
      </w:r>
      <w:r w:rsidRPr="00CF35EE">
        <w:rPr>
          <w:rFonts w:ascii="Times New Roman" w:hAnsi="Times New Roman" w:cs="Times New Roman"/>
          <w:lang w:val="ru-RU"/>
        </w:rPr>
        <w:t>) соглашения об уровне обслуживания (</w:t>
      </w:r>
      <w:r w:rsidRPr="00CF35EE">
        <w:rPr>
          <w:rFonts w:ascii="Times New Roman" w:hAnsi="Times New Roman" w:cs="Times New Roman"/>
        </w:rPr>
        <w:t>SLA</w:t>
      </w:r>
      <w:r w:rsidRPr="00CF35EE">
        <w:rPr>
          <w:rFonts w:ascii="Times New Roman" w:hAnsi="Times New Roman" w:cs="Times New Roman"/>
          <w:lang w:val="ru-RU"/>
        </w:rPr>
        <w:t>)</w:t>
      </w:r>
    </w:p>
    <w:p w14:paraId="1F35416B" w14:textId="77777777" w:rsidR="00EE4FD7" w:rsidRPr="00CF35EE" w:rsidRDefault="00EE4FD7" w:rsidP="00EE4FD7">
      <w:pPr>
        <w:pStyle w:val="Default"/>
        <w:ind w:left="360"/>
        <w:rPr>
          <w:rFonts w:ascii="Times New Roman" w:hAnsi="Times New Roman" w:cs="Times New Roman"/>
          <w:color w:val="000000" w:themeColor="text1"/>
          <w:lang w:val="ru-RU"/>
        </w:rPr>
      </w:pPr>
    </w:p>
    <w:tbl>
      <w:tblPr>
        <w:tblStyle w:val="TableGrid"/>
        <w:tblW w:w="13770" w:type="dxa"/>
        <w:tblInd w:w="-185" w:type="dxa"/>
        <w:tblLook w:val="04A0" w:firstRow="1" w:lastRow="0" w:firstColumn="1" w:lastColumn="0" w:noHBand="0" w:noVBand="1"/>
      </w:tblPr>
      <w:tblGrid>
        <w:gridCol w:w="13770"/>
      </w:tblGrid>
      <w:tr w:rsidR="00EE4FD7" w:rsidRPr="006F319C" w14:paraId="0D10D109" w14:textId="77777777" w:rsidTr="00926EB7">
        <w:tc>
          <w:tcPr>
            <w:tcW w:w="13770" w:type="dxa"/>
          </w:tcPr>
          <w:p w14:paraId="591B72D2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Все требования, указанные в этом разделе, являются обязательными. Однако Поставщик услуг может предложить расширенные соглашения об уровне обслуживания в рамках своего технического предложения, которые будут положительно оценены в соответствии с методологией, описанной в документе «Запрос предложений».</w:t>
            </w:r>
          </w:p>
        </w:tc>
      </w:tr>
    </w:tbl>
    <w:p w14:paraId="59300B94" w14:textId="77777777" w:rsidR="00EE4FD7" w:rsidRPr="00CF35EE" w:rsidRDefault="00EE4FD7" w:rsidP="00EE4FD7">
      <w:pPr>
        <w:pStyle w:val="Default"/>
        <w:ind w:left="360"/>
        <w:rPr>
          <w:rFonts w:ascii="Times New Roman" w:hAnsi="Times New Roman" w:cs="Times New Roman"/>
          <w:color w:val="000000" w:themeColor="text1"/>
          <w:lang w:val="ru-RU"/>
        </w:rPr>
      </w:pPr>
    </w:p>
    <w:tbl>
      <w:tblPr>
        <w:tblW w:w="13812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3412"/>
        <w:gridCol w:w="7"/>
        <w:gridCol w:w="4937"/>
        <w:gridCol w:w="11"/>
        <w:gridCol w:w="1260"/>
        <w:gridCol w:w="91"/>
        <w:gridCol w:w="1259"/>
        <w:gridCol w:w="1535"/>
        <w:gridCol w:w="24"/>
      </w:tblGrid>
      <w:tr w:rsidR="00EE4FD7" w:rsidRPr="00CF35EE" w14:paraId="264AC8AA" w14:textId="77777777" w:rsidTr="00926EB7">
        <w:trPr>
          <w:trHeight w:val="303"/>
        </w:trPr>
        <w:tc>
          <w:tcPr>
            <w:tcW w:w="1276" w:type="dxa"/>
            <w:shd w:val="clear" w:color="auto" w:fill="BFBFBF" w:themeFill="background1" w:themeFillShade="BF"/>
          </w:tcPr>
          <w:p w14:paraId="23390748" w14:textId="27D7F676" w:rsidR="00EE4FD7" w:rsidRPr="00CF35EE" w:rsidRDefault="00BE5F5A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Номер</w:t>
            </w:r>
            <w:proofErr w:type="spellEnd"/>
          </w:p>
        </w:tc>
        <w:tc>
          <w:tcPr>
            <w:tcW w:w="3419" w:type="dxa"/>
            <w:gridSpan w:val="2"/>
            <w:shd w:val="clear" w:color="auto" w:fill="BFBFBF" w:themeFill="background1" w:themeFillShade="BF"/>
          </w:tcPr>
          <w:p w14:paraId="5DD918D1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Описание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технических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требований</w:t>
            </w:r>
            <w:proofErr w:type="spellEnd"/>
          </w:p>
        </w:tc>
        <w:tc>
          <w:tcPr>
            <w:tcW w:w="4948" w:type="dxa"/>
            <w:gridSpan w:val="2"/>
            <w:shd w:val="clear" w:color="auto" w:fill="BFBFBF" w:themeFill="background1" w:themeFillShade="BF"/>
          </w:tcPr>
          <w:p w14:paraId="6C99E496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Метод расчета и/или доказательства)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14:paraId="66E34673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Нарушение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 3 (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незначительное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350" w:type="dxa"/>
            <w:gridSpan w:val="2"/>
            <w:shd w:val="clear" w:color="auto" w:fill="BFBFBF" w:themeFill="background1" w:themeFillShade="BF"/>
          </w:tcPr>
          <w:p w14:paraId="3812A2A3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Нарушение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 2 (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средний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уровень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559" w:type="dxa"/>
            <w:gridSpan w:val="2"/>
            <w:shd w:val="clear" w:color="auto" w:fill="BFBFBF" w:themeFill="background1" w:themeFillShade="BF"/>
          </w:tcPr>
          <w:p w14:paraId="3DF62088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Нарушение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 1 (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Серьезное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EE4FD7" w:rsidRPr="006F319C" w14:paraId="170D15A6" w14:textId="77777777" w:rsidTr="00926EB7">
        <w:trPr>
          <w:trHeight w:val="2657"/>
        </w:trPr>
        <w:tc>
          <w:tcPr>
            <w:tcW w:w="1276" w:type="dxa"/>
          </w:tcPr>
          <w:p w14:paraId="1E00F1A2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64</w:t>
            </w:r>
          </w:p>
        </w:tc>
        <w:tc>
          <w:tcPr>
            <w:tcW w:w="3419" w:type="dxa"/>
            <w:gridSpan w:val="2"/>
          </w:tcPr>
          <w:p w14:paraId="25429F75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Система сбора и мониторинга данных должна работать непрерывно (24/7) и быть доступной для приема и обработки данных от всех операторов. Под простоем понимается любой период, в течение которого система не может принимать или обрабатывать входящие данные. Сбои в работе систем операторов или внешних сетей, не зависящих от поставщика услуг, не считаются простоем.</w:t>
            </w:r>
          </w:p>
        </w:tc>
        <w:tc>
          <w:tcPr>
            <w:tcW w:w="4948" w:type="dxa"/>
            <w:gridSpan w:val="2"/>
          </w:tcPr>
          <w:p w14:paraId="07EC098C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Журналы мониторинга системы, показывающие фактическое время работы системы за месяц, включая временные метки периодов простоя, в течение которых входящие данные не могли быть получены или обработаны.</w:t>
            </w:r>
          </w:p>
        </w:tc>
        <w:tc>
          <w:tcPr>
            <w:tcW w:w="1260" w:type="dxa"/>
          </w:tcPr>
          <w:p w14:paraId="053702A0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Ежемесячная доступность ниже 99,9%, или любой отдельный простой, длящийся более 1 часа и до 2 часов.</w:t>
            </w:r>
          </w:p>
        </w:tc>
        <w:tc>
          <w:tcPr>
            <w:tcW w:w="1350" w:type="dxa"/>
            <w:gridSpan w:val="2"/>
          </w:tcPr>
          <w:p w14:paraId="2A6C6188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Ежемесячная доступность ниже 99,5%, или любой отдельный простой, длящийся более 2 часов и до 4 часов.</w:t>
            </w:r>
          </w:p>
        </w:tc>
        <w:tc>
          <w:tcPr>
            <w:tcW w:w="1559" w:type="dxa"/>
            <w:gridSpan w:val="2"/>
          </w:tcPr>
          <w:p w14:paraId="1AE67B18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Ежемесячная доступность ниже 99% или любой непрерывный простой, превышающий 4 часа.</w:t>
            </w:r>
          </w:p>
        </w:tc>
      </w:tr>
      <w:tr w:rsidR="00EE4FD7" w:rsidRPr="006F319C" w14:paraId="6BB6670B" w14:textId="77777777" w:rsidTr="00926EB7">
        <w:trPr>
          <w:trHeight w:val="2657"/>
        </w:trPr>
        <w:tc>
          <w:tcPr>
            <w:tcW w:w="1276" w:type="dxa"/>
          </w:tcPr>
          <w:p w14:paraId="6C04312E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65</w:t>
            </w:r>
          </w:p>
        </w:tc>
        <w:tc>
          <w:tcPr>
            <w:tcW w:w="3419" w:type="dxa"/>
            <w:gridSpan w:val="2"/>
          </w:tcPr>
          <w:p w14:paraId="77DFB488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Все необходимые игровые данные должны собираться без потерь и должны быть полностью восстанавливаемыми в случае временного простоя.</w:t>
            </w:r>
          </w:p>
        </w:tc>
        <w:tc>
          <w:tcPr>
            <w:tcW w:w="4948" w:type="dxa"/>
            <w:gridSpan w:val="2"/>
          </w:tcPr>
          <w:p w14:paraId="5C1DCB4D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Сравнение данных, полученных системой мониторинга, с отчетными файлами оператора и внутренними проверками целостности, а также доказательства успешного восстановления или повторного воспроизведения после простоя.</w:t>
            </w:r>
          </w:p>
        </w:tc>
        <w:tc>
          <w:tcPr>
            <w:tcW w:w="1260" w:type="dxa"/>
          </w:tcPr>
          <w:p w14:paraId="7E0D3996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Отсутствие или повреждение данных для одного оператора в течение до 6 часов, успешно восстановленных в течение 24 часов.</w:t>
            </w:r>
          </w:p>
        </w:tc>
        <w:tc>
          <w:tcPr>
            <w:tcW w:w="1350" w:type="dxa"/>
            <w:gridSpan w:val="2"/>
          </w:tcPr>
          <w:p w14:paraId="5C672FEB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Отсутствие или повреждение данных для одного или нескольких операторов в течение более 6 часов и до 24 часов, или восстановление, завершенное позднее 24 часов.</w:t>
            </w:r>
          </w:p>
        </w:tc>
        <w:tc>
          <w:tcPr>
            <w:tcW w:w="1559" w:type="dxa"/>
            <w:gridSpan w:val="2"/>
          </w:tcPr>
          <w:p w14:paraId="7DA63118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EE4FD7" w:rsidRPr="006F319C" w14:paraId="5FD542D3" w14:textId="77777777" w:rsidTr="00926EB7">
        <w:trPr>
          <w:trHeight w:val="2657"/>
        </w:trPr>
        <w:tc>
          <w:tcPr>
            <w:tcW w:w="1276" w:type="dxa"/>
          </w:tcPr>
          <w:p w14:paraId="4F9BFE9E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</w:tc>
        <w:tc>
          <w:tcPr>
            <w:tcW w:w="3419" w:type="dxa"/>
            <w:gridSpan w:val="2"/>
          </w:tcPr>
          <w:p w14:paraId="2E83C359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Система мониторинга должна обрабатывать и предоставлять входящие данные об онлайн-азартных играх и ставках на спорт (счетчики, события, транзакции) менее чем за 1 секунду с момента их отправки системой оператора. Задержки, вызванные собственными системами оператора или внешними сетями, не зависящими от поставщика услуг, исключаются.</w:t>
            </w:r>
          </w:p>
        </w:tc>
        <w:tc>
          <w:tcPr>
            <w:tcW w:w="4948" w:type="dxa"/>
            <w:gridSpan w:val="2"/>
          </w:tcPr>
          <w:p w14:paraId="0FE9FFE8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Доказательства из журналов системы, сравнивающие временные метки передачи данных оператором с временными метками приема и обработки данных системой мониторинга, агрегированные за месяц.</w:t>
            </w:r>
          </w:p>
        </w:tc>
        <w:tc>
          <w:tcPr>
            <w:tcW w:w="1260" w:type="dxa"/>
          </w:tcPr>
          <w:p w14:paraId="1F0B2134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Задержка более 5% и до 10% элементов данных превышает 1 секунду.</w:t>
            </w:r>
          </w:p>
        </w:tc>
        <w:tc>
          <w:tcPr>
            <w:tcW w:w="1350" w:type="dxa"/>
            <w:gridSpan w:val="2"/>
          </w:tcPr>
          <w:p w14:paraId="09058B08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Более 10% и до 20% элементов данных имеют задержку, превышающую 1 секунду, или наблюдаются повторяющиеся ежедневные нарушения.</w:t>
            </w:r>
          </w:p>
        </w:tc>
        <w:tc>
          <w:tcPr>
            <w:tcW w:w="1559" w:type="dxa"/>
            <w:gridSpan w:val="2"/>
          </w:tcPr>
          <w:p w14:paraId="34B35BCB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Постоянная потеря данных за любой период или отсутствие/повреждение данных более чем на 24 часа для одного или нескольких операторов.</w:t>
            </w:r>
          </w:p>
        </w:tc>
      </w:tr>
      <w:tr w:rsidR="00EE4FD7" w:rsidRPr="006F319C" w14:paraId="5F0A30CE" w14:textId="77777777" w:rsidTr="00926EB7">
        <w:trPr>
          <w:trHeight w:val="586"/>
        </w:trPr>
        <w:tc>
          <w:tcPr>
            <w:tcW w:w="1276" w:type="dxa"/>
          </w:tcPr>
          <w:p w14:paraId="13718ED1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66</w:t>
            </w:r>
          </w:p>
        </w:tc>
        <w:tc>
          <w:tcPr>
            <w:tcW w:w="3419" w:type="dxa"/>
            <w:gridSpan w:val="2"/>
          </w:tcPr>
          <w:p w14:paraId="0680AC90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48" w:type="dxa"/>
            <w:gridSpan w:val="2"/>
          </w:tcPr>
          <w:p w14:paraId="1168D27A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60" w:type="dxa"/>
          </w:tcPr>
          <w:p w14:paraId="7D5F54B4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Задержка доставки отчета более чем на 6 часов и до 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24 часов.</w:t>
            </w:r>
          </w:p>
        </w:tc>
        <w:tc>
          <w:tcPr>
            <w:tcW w:w="1350" w:type="dxa"/>
            <w:gridSpan w:val="2"/>
          </w:tcPr>
          <w:p w14:paraId="4D417B0B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 xml:space="preserve">Доставка отчетов задерживается более чем на 24 часа 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и до 48 часов.</w:t>
            </w:r>
          </w:p>
        </w:tc>
        <w:tc>
          <w:tcPr>
            <w:tcW w:w="1559" w:type="dxa"/>
            <w:gridSpan w:val="2"/>
          </w:tcPr>
          <w:p w14:paraId="641A465C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 xml:space="preserve">Более 20% элементов данных имеют задержку, превышающую 1 секунду, 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или любой непрерывный период более 15 минут, в течение которого задержка превышает 1 секунду для всех или большинства операторов.</w:t>
            </w:r>
          </w:p>
        </w:tc>
      </w:tr>
      <w:tr w:rsidR="00EE4FD7" w:rsidRPr="006F319C" w14:paraId="11AAF5BC" w14:textId="77777777" w:rsidTr="00926EB7">
        <w:trPr>
          <w:gridAfter w:val="1"/>
          <w:wAfter w:w="24" w:type="dxa"/>
          <w:trHeight w:val="586"/>
        </w:trPr>
        <w:tc>
          <w:tcPr>
            <w:tcW w:w="1276" w:type="dxa"/>
          </w:tcPr>
          <w:p w14:paraId="24FF3291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67</w:t>
            </w:r>
          </w:p>
        </w:tc>
        <w:tc>
          <w:tcPr>
            <w:tcW w:w="3412" w:type="dxa"/>
          </w:tcPr>
          <w:p w14:paraId="6D43B572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Отчетность по данным должна предоставляться в соответствии с графиком, согласованным с Государственным комитетом по доходам Республики Армения. Задержки, вызванные проблемами оператора или внешних сетей, не считаются простоем.</w:t>
            </w:r>
          </w:p>
        </w:tc>
        <w:tc>
          <w:tcPr>
            <w:tcW w:w="4944" w:type="dxa"/>
            <w:gridSpan w:val="2"/>
          </w:tcPr>
          <w:p w14:paraId="5994CF46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Расчет ежемесячного времени безотказной работы должен основываться на журналах </w:t>
            </w:r>
            <w:r w:rsidRPr="00CF35EE">
              <w:rPr>
                <w:rFonts w:ascii="Times New Roman" w:hAnsi="Times New Roman" w:cs="Times New Roman"/>
                <w:color w:val="000000" w:themeColor="text1"/>
              </w:rPr>
              <w:t>API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и записях о доступности системы.</w:t>
            </w:r>
          </w:p>
        </w:tc>
        <w:tc>
          <w:tcPr>
            <w:tcW w:w="1362" w:type="dxa"/>
            <w:gridSpan w:val="3"/>
          </w:tcPr>
          <w:p w14:paraId="3CE089D2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Ежемесячная доступность ниже 99,9%, но ≥ 99,5%, или любой отдельный сбой, длящи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йся более 30 минут и до 1 часа.</w:t>
            </w:r>
          </w:p>
        </w:tc>
        <w:tc>
          <w:tcPr>
            <w:tcW w:w="1259" w:type="dxa"/>
          </w:tcPr>
          <w:p w14:paraId="0D140B85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Ежемесячная доступность ниже 99,5%, но ≥ 99%, или любой отдельный прост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ой, длящийся более 1 часа и до 2 часов.</w:t>
            </w:r>
          </w:p>
        </w:tc>
        <w:tc>
          <w:tcPr>
            <w:tcW w:w="1535" w:type="dxa"/>
          </w:tcPr>
          <w:p w14:paraId="550A92B4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Задержка доставки отчета более чем на 48 часов или отсутствие доставки отчета за отчетны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й период.</w:t>
            </w:r>
          </w:p>
        </w:tc>
      </w:tr>
      <w:tr w:rsidR="00EE4FD7" w:rsidRPr="006F319C" w14:paraId="6A522431" w14:textId="77777777" w:rsidTr="00926EB7">
        <w:trPr>
          <w:gridAfter w:val="1"/>
          <w:wAfter w:w="24" w:type="dxa"/>
          <w:trHeight w:val="586"/>
        </w:trPr>
        <w:tc>
          <w:tcPr>
            <w:tcW w:w="1276" w:type="dxa"/>
          </w:tcPr>
          <w:p w14:paraId="66A1E7D0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68</w:t>
            </w:r>
          </w:p>
        </w:tc>
        <w:tc>
          <w:tcPr>
            <w:tcW w:w="3412" w:type="dxa"/>
          </w:tcPr>
          <w:p w14:paraId="6C471171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Система списков исключений (база данных + </w:t>
            </w:r>
            <w:r w:rsidRPr="00CF35EE">
              <w:rPr>
                <w:rFonts w:ascii="Times New Roman" w:hAnsi="Times New Roman" w:cs="Times New Roman"/>
                <w:color w:val="000000" w:themeColor="text1"/>
              </w:rPr>
              <w:t>API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поиска) должна работать непрерывно (24/7). Под простоем понимается любой период, когда авторизованные пользователи не могут получить доступ к списку исключений или обновить его, или когда список недоступен для поиска несколькими операторами.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Проблемы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вызванные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внешними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сетями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исключаются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944" w:type="dxa"/>
            <w:gridSpan w:val="2"/>
          </w:tcPr>
          <w:p w14:paraId="7D75180E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Журналы мониторинга системы, журналы доступа, записи обнаружения вторжений или другие достоверные доказательства.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Включаются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только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системы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обслуживаемые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поставщиком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услуг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362" w:type="dxa"/>
            <w:gridSpan w:val="3"/>
          </w:tcPr>
          <w:p w14:paraId="1028C29B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Подтвержденный несанкционированный доступ, не затрагивающий персональные или коммерчески важные данные.</w:t>
            </w:r>
          </w:p>
        </w:tc>
        <w:tc>
          <w:tcPr>
            <w:tcW w:w="1259" w:type="dxa"/>
          </w:tcPr>
          <w:p w14:paraId="06BE6EFB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Подтвержденный несанкционированный доступ к персональным или коммерчески конфиденциальным данным без доказательств утечк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и данных.</w:t>
            </w:r>
          </w:p>
        </w:tc>
        <w:tc>
          <w:tcPr>
            <w:tcW w:w="1535" w:type="dxa"/>
          </w:tcPr>
          <w:p w14:paraId="52B44F46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Ежемесячная доступность ниже 99% или любой непрерывный простой, длящийся более 2 часов.</w:t>
            </w:r>
          </w:p>
        </w:tc>
      </w:tr>
      <w:tr w:rsidR="00EE4FD7" w:rsidRPr="006F319C" w14:paraId="10732F09" w14:textId="77777777" w:rsidTr="00926EB7">
        <w:trPr>
          <w:gridAfter w:val="1"/>
          <w:wAfter w:w="24" w:type="dxa"/>
          <w:trHeight w:val="586"/>
        </w:trPr>
        <w:tc>
          <w:tcPr>
            <w:tcW w:w="1276" w:type="dxa"/>
          </w:tcPr>
          <w:p w14:paraId="6C435DFD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69</w:t>
            </w:r>
          </w:p>
        </w:tc>
        <w:tc>
          <w:tcPr>
            <w:tcW w:w="3412" w:type="dxa"/>
          </w:tcPr>
          <w:p w14:paraId="6F79AC37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Должен быть исключен любой случай несанкционированного доступа к конфиденциальным данным.</w:t>
            </w:r>
          </w:p>
        </w:tc>
        <w:tc>
          <w:tcPr>
            <w:tcW w:w="4944" w:type="dxa"/>
            <w:gridSpan w:val="2"/>
          </w:tcPr>
          <w:p w14:paraId="29D0BD2E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Сравнение метки времени уведомления об инциденте от поставщика услуг (зафиксированной в журналах инцидентов) с меткой времени уведомления, отправленного в Государственный налоговый комитет Республики Армения.</w:t>
            </w:r>
          </w:p>
        </w:tc>
        <w:tc>
          <w:tcPr>
            <w:tcW w:w="1362" w:type="dxa"/>
            <w:gridSpan w:val="3"/>
          </w:tcPr>
          <w:p w14:paraId="47F669A6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Уведомление отправлено позже запланированного времени, до 1 часа.</w:t>
            </w:r>
          </w:p>
        </w:tc>
        <w:tc>
          <w:tcPr>
            <w:tcW w:w="1259" w:type="dxa"/>
          </w:tcPr>
          <w:p w14:paraId="533FDA46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Уведомление отправлено позже целевого времени более чем на 1 час и до 4 часов.</w:t>
            </w:r>
          </w:p>
        </w:tc>
        <w:tc>
          <w:tcPr>
            <w:tcW w:w="1535" w:type="dxa"/>
          </w:tcPr>
          <w:p w14:paraId="53A58885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EE4FD7" w:rsidRPr="006F319C" w14:paraId="555456D7" w14:textId="77777777" w:rsidTr="00926EB7">
        <w:trPr>
          <w:gridAfter w:val="1"/>
          <w:wAfter w:w="24" w:type="dxa"/>
          <w:trHeight w:val="586"/>
        </w:trPr>
        <w:tc>
          <w:tcPr>
            <w:tcW w:w="1276" w:type="dxa"/>
          </w:tcPr>
          <w:p w14:paraId="2DE02225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70</w:t>
            </w:r>
          </w:p>
        </w:tc>
        <w:tc>
          <w:tcPr>
            <w:tcW w:w="3412" w:type="dxa"/>
          </w:tcPr>
          <w:p w14:paraId="0A8AAFEC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44" w:type="dxa"/>
            <w:gridSpan w:val="2"/>
          </w:tcPr>
          <w:p w14:paraId="058BB958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62" w:type="dxa"/>
            <w:gridSpan w:val="3"/>
          </w:tcPr>
          <w:p w14:paraId="5C5218D1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Реагирование на критический инцидент началось позже, чем через 15 минут, но в 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течение 30 минут, или реагирование на некритический инцидент началось позже, чем через 2 часа, но в течение 4 часов.</w:t>
            </w:r>
          </w:p>
        </w:tc>
        <w:tc>
          <w:tcPr>
            <w:tcW w:w="1259" w:type="dxa"/>
          </w:tcPr>
          <w:p w14:paraId="548EFE70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Реагирование на критический инцидент началось позже 30 минут, но в течен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ие 1 часа, или реагирование на некритический инцидент началось позже 4 часов, но в течение 8 часов.</w:t>
            </w:r>
          </w:p>
        </w:tc>
        <w:tc>
          <w:tcPr>
            <w:tcW w:w="1535" w:type="dxa"/>
          </w:tcPr>
          <w:p w14:paraId="0CC3F9D7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hy-AM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Подтвержденный несанкционированный доступ, включающий утечку, раскрытие или крупномасштабное копирова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ние персональных или коммерчески важных данных.</w:t>
            </w:r>
          </w:p>
        </w:tc>
      </w:tr>
      <w:tr w:rsidR="00EE4FD7" w:rsidRPr="006F319C" w14:paraId="6D34449F" w14:textId="77777777" w:rsidTr="00926EB7">
        <w:trPr>
          <w:gridAfter w:val="1"/>
          <w:wAfter w:w="24" w:type="dxa"/>
          <w:trHeight w:val="586"/>
        </w:trPr>
        <w:tc>
          <w:tcPr>
            <w:tcW w:w="1276" w:type="dxa"/>
          </w:tcPr>
          <w:p w14:paraId="1F94569E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71</w:t>
            </w:r>
          </w:p>
        </w:tc>
        <w:tc>
          <w:tcPr>
            <w:tcW w:w="3412" w:type="dxa"/>
          </w:tcPr>
          <w:p w14:paraId="18CB9D14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Поставщик услуг обязан уведомить Государственный налоговый комитет </w:t>
            </w:r>
            <w:r w:rsidRPr="00CF35EE">
              <w:rPr>
                <w:rFonts w:ascii="Times New Roman" w:hAnsi="Times New Roman" w:cs="Times New Roman"/>
                <w:color w:val="000000" w:themeColor="text1"/>
              </w:rPr>
              <w:t>RA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в течение 4 часов с момента обнаружения нарушения конфиденциальности данных или инцидента безопасности.</w:t>
            </w:r>
          </w:p>
        </w:tc>
        <w:tc>
          <w:tcPr>
            <w:tcW w:w="4944" w:type="dxa"/>
            <w:gridSpan w:val="2"/>
          </w:tcPr>
          <w:p w14:paraId="5655CC26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Сравнение плана этапов с фактическими датами интеграции.</w:t>
            </w:r>
          </w:p>
        </w:tc>
        <w:tc>
          <w:tcPr>
            <w:tcW w:w="1362" w:type="dxa"/>
            <w:gridSpan w:val="3"/>
          </w:tcPr>
          <w:p w14:paraId="3485BD60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Задержка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 10–20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дней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259" w:type="dxa"/>
          </w:tcPr>
          <w:p w14:paraId="09BED11D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Задержка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 20–45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дней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535" w:type="dxa"/>
          </w:tcPr>
          <w:p w14:paraId="7868F2B7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Уведомление отправлено позже целевого времени более чем на 4 часа или уведомление не 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отправлено вообще.</w:t>
            </w:r>
          </w:p>
        </w:tc>
      </w:tr>
      <w:tr w:rsidR="00EE4FD7" w:rsidRPr="006F319C" w14:paraId="6FE1E3E9" w14:textId="77777777" w:rsidTr="00926EB7">
        <w:trPr>
          <w:gridAfter w:val="1"/>
          <w:wAfter w:w="24" w:type="dxa"/>
          <w:trHeight w:val="586"/>
        </w:trPr>
        <w:tc>
          <w:tcPr>
            <w:tcW w:w="1276" w:type="dxa"/>
          </w:tcPr>
          <w:p w14:paraId="09398891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72</w:t>
            </w:r>
          </w:p>
        </w:tc>
        <w:tc>
          <w:tcPr>
            <w:tcW w:w="3412" w:type="dxa"/>
          </w:tcPr>
          <w:p w14:paraId="7F38DF70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Поставщик услуг обязан начать устранение критических операционных инцидентов в течение 15 минут после обнаружения, а всех остальных инцидентов — в течение 2 часов.</w:t>
            </w:r>
          </w:p>
        </w:tc>
        <w:tc>
          <w:tcPr>
            <w:tcW w:w="4944" w:type="dxa"/>
            <w:gridSpan w:val="2"/>
          </w:tcPr>
          <w:p w14:paraId="43E0D7CE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Журналы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ежечасных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отчетов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устройств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362" w:type="dxa"/>
            <w:gridSpan w:val="3"/>
          </w:tcPr>
          <w:p w14:paraId="23C3C717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1–3% устройств. Отключены более чем на 1 час.</w:t>
            </w:r>
          </w:p>
        </w:tc>
        <w:tc>
          <w:tcPr>
            <w:tcW w:w="1259" w:type="dxa"/>
          </w:tcPr>
          <w:p w14:paraId="28B97B3F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535" w:type="dxa"/>
          </w:tcPr>
          <w:p w14:paraId="6EB9FB12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5% устройств отключены, или отключена вся сеть.</w:t>
            </w:r>
          </w:p>
        </w:tc>
      </w:tr>
      <w:tr w:rsidR="00EE4FD7" w:rsidRPr="006F319C" w14:paraId="524E2DAB" w14:textId="77777777" w:rsidTr="00926EB7">
        <w:trPr>
          <w:gridAfter w:val="1"/>
          <w:wAfter w:w="24" w:type="dxa"/>
          <w:trHeight w:val="586"/>
        </w:trPr>
        <w:tc>
          <w:tcPr>
            <w:tcW w:w="1276" w:type="dxa"/>
          </w:tcPr>
          <w:p w14:paraId="47F163F2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73</w:t>
            </w:r>
          </w:p>
        </w:tc>
        <w:tc>
          <w:tcPr>
            <w:tcW w:w="3412" w:type="dxa"/>
          </w:tcPr>
          <w:p w14:paraId="12940FF6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Поставщик услуг обязан интегрировать новых операторов в согласованные сроки.</w:t>
            </w:r>
          </w:p>
        </w:tc>
        <w:tc>
          <w:tcPr>
            <w:tcW w:w="4944" w:type="dxa"/>
            <w:gridSpan w:val="2"/>
          </w:tcPr>
          <w:p w14:paraId="55350A10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Журналы проверки последовательности и обнаружения пропущенных событий.</w:t>
            </w:r>
          </w:p>
        </w:tc>
        <w:tc>
          <w:tcPr>
            <w:tcW w:w="1362" w:type="dxa"/>
            <w:gridSpan w:val="3"/>
          </w:tcPr>
          <w:p w14:paraId="6ECFDC67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0,5–1% событий вне последовательности в месяц.</w:t>
            </w:r>
          </w:p>
        </w:tc>
        <w:tc>
          <w:tcPr>
            <w:tcW w:w="1259" w:type="dxa"/>
          </w:tcPr>
          <w:p w14:paraId="37475E65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3–5% устройств. Отключены более чем на 1 час.</w:t>
            </w:r>
          </w:p>
        </w:tc>
        <w:tc>
          <w:tcPr>
            <w:tcW w:w="1535" w:type="dxa"/>
          </w:tcPr>
          <w:p w14:paraId="47FD0FA6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3% событий не по порядку или потеряны.</w:t>
            </w:r>
          </w:p>
        </w:tc>
      </w:tr>
      <w:tr w:rsidR="00EE4FD7" w:rsidRPr="006F319C" w14:paraId="473606E7" w14:textId="77777777" w:rsidTr="00926EB7">
        <w:trPr>
          <w:gridAfter w:val="1"/>
          <w:wAfter w:w="24" w:type="dxa"/>
          <w:trHeight w:val="586"/>
        </w:trPr>
        <w:tc>
          <w:tcPr>
            <w:tcW w:w="1276" w:type="dxa"/>
          </w:tcPr>
          <w:p w14:paraId="1C3AD536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74</w:t>
            </w:r>
          </w:p>
        </w:tc>
        <w:tc>
          <w:tcPr>
            <w:tcW w:w="3412" w:type="dxa"/>
          </w:tcPr>
          <w:p w14:paraId="18123529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Поставщик услуг обязан оказывать поддержку в интеграции новых операторов в согласованные сроки, предоставляя необходимые интерфейсы, документацию и техническую помощь.</w:t>
            </w:r>
          </w:p>
        </w:tc>
        <w:tc>
          <w:tcPr>
            <w:tcW w:w="4944" w:type="dxa"/>
            <w:gridSpan w:val="2"/>
          </w:tcPr>
          <w:p w14:paraId="0D8E36BF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362" w:type="dxa"/>
            <w:gridSpan w:val="3"/>
          </w:tcPr>
          <w:p w14:paraId="23D6F07D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259" w:type="dxa"/>
          </w:tcPr>
          <w:p w14:paraId="07D4C09B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1–3%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событий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вне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последовательности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ежемесячно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535" w:type="dxa"/>
          </w:tcPr>
          <w:p w14:paraId="07EDC1F2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Разница &gt;3% или неустранена более 72 часов.</w:t>
            </w:r>
          </w:p>
        </w:tc>
      </w:tr>
      <w:tr w:rsidR="00EE4FD7" w:rsidRPr="006F319C" w14:paraId="5748D6B0" w14:textId="77777777" w:rsidTr="00926EB7">
        <w:trPr>
          <w:gridAfter w:val="1"/>
          <w:wAfter w:w="24" w:type="dxa"/>
          <w:trHeight w:val="586"/>
        </w:trPr>
        <w:tc>
          <w:tcPr>
            <w:tcW w:w="1276" w:type="dxa"/>
          </w:tcPr>
          <w:p w14:paraId="7EB3A946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75</w:t>
            </w:r>
          </w:p>
        </w:tc>
        <w:tc>
          <w:tcPr>
            <w:tcW w:w="3412" w:type="dxa"/>
          </w:tcPr>
          <w:p w14:paraId="4D71EF12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Задержки, вызванные факторами, не зависящими от Поставщика услуг, включая задержки со 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стороны оператора или зависимость от третьих лиц, не должны относиться к ответственности Поставщика услуг.</w:t>
            </w:r>
          </w:p>
        </w:tc>
        <w:tc>
          <w:tcPr>
            <w:tcW w:w="4944" w:type="dxa"/>
            <w:gridSpan w:val="2"/>
          </w:tcPr>
          <w:p w14:paraId="26ED5D22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lastRenderedPageBreak/>
              <w:t>Тестирование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восстановления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исторических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данных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362" w:type="dxa"/>
            <w:gridSpan w:val="3"/>
          </w:tcPr>
          <w:p w14:paraId="7B1AA1C9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Разница &lt;1%, устранена в 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течение 24 часов.</w:t>
            </w:r>
          </w:p>
        </w:tc>
        <w:tc>
          <w:tcPr>
            <w:tcW w:w="1259" w:type="dxa"/>
          </w:tcPr>
          <w:p w14:paraId="47BDA450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Разница 1–3%, устра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нена в течение 24–72 часов.</w:t>
            </w:r>
          </w:p>
        </w:tc>
        <w:tc>
          <w:tcPr>
            <w:tcW w:w="1535" w:type="dxa"/>
          </w:tcPr>
          <w:p w14:paraId="51557A7C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  <w:tr w:rsidR="00EE4FD7" w:rsidRPr="006F319C" w14:paraId="15BF9DA7" w14:textId="77777777" w:rsidTr="00926EB7">
        <w:trPr>
          <w:gridAfter w:val="1"/>
          <w:wAfter w:w="24" w:type="dxa"/>
          <w:trHeight w:val="586"/>
        </w:trPr>
        <w:tc>
          <w:tcPr>
            <w:tcW w:w="1276" w:type="dxa"/>
          </w:tcPr>
          <w:p w14:paraId="20611081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76</w:t>
            </w:r>
          </w:p>
        </w:tc>
        <w:tc>
          <w:tcPr>
            <w:tcW w:w="3412" w:type="dxa"/>
          </w:tcPr>
          <w:p w14:paraId="46C2F44A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Все наземные (физически установленные) устройства должны непрерывно передавать данные.</w:t>
            </w:r>
          </w:p>
        </w:tc>
        <w:tc>
          <w:tcPr>
            <w:tcW w:w="4944" w:type="dxa"/>
            <w:gridSpan w:val="2"/>
          </w:tcPr>
          <w:p w14:paraId="4022830A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Нагрузочное тестирование и показатели производительности в реальном времени.</w:t>
            </w:r>
          </w:p>
        </w:tc>
        <w:tc>
          <w:tcPr>
            <w:tcW w:w="1362" w:type="dxa"/>
            <w:gridSpan w:val="3"/>
          </w:tcPr>
          <w:p w14:paraId="0709ED67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Продолжительность восстановления &gt;2 часов, но &lt;24 часов.</w:t>
            </w:r>
          </w:p>
        </w:tc>
        <w:tc>
          <w:tcPr>
            <w:tcW w:w="1259" w:type="dxa"/>
          </w:tcPr>
          <w:p w14:paraId="22E548EF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535" w:type="dxa"/>
          </w:tcPr>
          <w:p w14:paraId="512BBB5C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Данные безвозвратно отсутствуют или не подлежат восстановлению.</w:t>
            </w:r>
          </w:p>
        </w:tc>
      </w:tr>
      <w:tr w:rsidR="00EE4FD7" w:rsidRPr="006F319C" w14:paraId="35395D95" w14:textId="77777777" w:rsidTr="00926EB7">
        <w:trPr>
          <w:gridAfter w:val="1"/>
          <w:wAfter w:w="24" w:type="dxa"/>
          <w:trHeight w:val="586"/>
        </w:trPr>
        <w:tc>
          <w:tcPr>
            <w:tcW w:w="1276" w:type="dxa"/>
          </w:tcPr>
          <w:p w14:paraId="730FD25A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77</w:t>
            </w:r>
          </w:p>
        </w:tc>
        <w:tc>
          <w:tcPr>
            <w:tcW w:w="3412" w:type="dxa"/>
          </w:tcPr>
          <w:p w14:paraId="4105B9DC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Временные перебои могут возникать из-за технического обслуживания устройств, их перемещения, действий оператора или аппаратных и экологических факторов, не зависящих от поставщика услуг.</w:t>
            </w:r>
          </w:p>
        </w:tc>
        <w:tc>
          <w:tcPr>
            <w:tcW w:w="4944" w:type="dxa"/>
            <w:gridSpan w:val="2"/>
          </w:tcPr>
          <w:p w14:paraId="13B80DCF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Ежемесячная сверка с агрегированными показателями операторов.</w:t>
            </w:r>
          </w:p>
        </w:tc>
        <w:tc>
          <w:tcPr>
            <w:tcW w:w="1362" w:type="dxa"/>
            <w:gridSpan w:val="3"/>
          </w:tcPr>
          <w:p w14:paraId="16F66C5C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259" w:type="dxa"/>
          </w:tcPr>
          <w:p w14:paraId="06A7B4B5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Длительность восстановления &gt;24 часов или частично неполное восстановление.</w:t>
            </w:r>
          </w:p>
        </w:tc>
        <w:tc>
          <w:tcPr>
            <w:tcW w:w="1535" w:type="dxa"/>
          </w:tcPr>
          <w:p w14:paraId="6ACC2877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Показатель </w:t>
            </w:r>
            <w:r w:rsidRPr="00CF35EE">
              <w:rPr>
                <w:rFonts w:ascii="Times New Roman" w:hAnsi="Times New Roman" w:cs="Times New Roman"/>
                <w:color w:val="000000" w:themeColor="text1"/>
              </w:rPr>
              <w:t>TPS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более чем на 25% ниже целевого значения или перегрузка системы.</w:t>
            </w:r>
          </w:p>
        </w:tc>
      </w:tr>
      <w:tr w:rsidR="00EE4FD7" w:rsidRPr="006F319C" w14:paraId="7B2E3282" w14:textId="77777777" w:rsidTr="00926EB7">
        <w:trPr>
          <w:gridAfter w:val="1"/>
          <w:wAfter w:w="24" w:type="dxa"/>
          <w:trHeight w:val="586"/>
        </w:trPr>
        <w:tc>
          <w:tcPr>
            <w:tcW w:w="1276" w:type="dxa"/>
          </w:tcPr>
          <w:p w14:paraId="74C7FCCF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78</w:t>
            </w:r>
          </w:p>
        </w:tc>
        <w:tc>
          <w:tcPr>
            <w:tcW w:w="3412" w:type="dxa"/>
          </w:tcPr>
          <w:p w14:paraId="373A8FAE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Такие перебои не будут считаться несоответствием 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требованиям, при условии сохранения целостности данных и возможности надежного восстановления всей отсутствующей активности на основе суммарных показаний счетчиков устройств после восстановления связи.</w:t>
            </w:r>
          </w:p>
        </w:tc>
        <w:tc>
          <w:tcPr>
            <w:tcW w:w="4944" w:type="dxa"/>
            <w:gridSpan w:val="2"/>
          </w:tcPr>
          <w:p w14:paraId="5CA6D110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 xml:space="preserve">Сравнение порядковых номеров событий оператора с последовательностью, 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хранящейся в Центре мониторинга, автоматическое обнаружение отсутствующих записей и журналов системных аварий.</w:t>
            </w:r>
          </w:p>
        </w:tc>
        <w:tc>
          <w:tcPr>
            <w:tcW w:w="1362" w:type="dxa"/>
            <w:gridSpan w:val="3"/>
          </w:tcPr>
          <w:p w14:paraId="06AF3E43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 xml:space="preserve">Показатель </w:t>
            </w:r>
            <w:r w:rsidRPr="00CF35EE">
              <w:rPr>
                <w:rFonts w:ascii="Times New Roman" w:hAnsi="Times New Roman" w:cs="Times New Roman"/>
                <w:color w:val="000000" w:themeColor="text1"/>
              </w:rPr>
              <w:lastRenderedPageBreak/>
              <w:t>TPS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менее чем на 10% ниже целевого значения.</w:t>
            </w:r>
          </w:p>
        </w:tc>
        <w:tc>
          <w:tcPr>
            <w:tcW w:w="1259" w:type="dxa"/>
          </w:tcPr>
          <w:p w14:paraId="0BF455F4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 xml:space="preserve">Показатель </w:t>
            </w:r>
            <w:r w:rsidRPr="00CF35EE">
              <w:rPr>
                <w:rFonts w:ascii="Times New Roman" w:hAnsi="Times New Roman" w:cs="Times New Roman"/>
                <w:color w:val="000000" w:themeColor="text1"/>
              </w:rPr>
              <w:lastRenderedPageBreak/>
              <w:t>TPS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на 10–25% ниже целевого значения.</w:t>
            </w:r>
          </w:p>
        </w:tc>
        <w:tc>
          <w:tcPr>
            <w:tcW w:w="1535" w:type="dxa"/>
          </w:tcPr>
          <w:p w14:paraId="37921B4D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Сбои целостно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сти &gt;5% или безвозвратная потеря данных.</w:t>
            </w:r>
          </w:p>
        </w:tc>
      </w:tr>
    </w:tbl>
    <w:p w14:paraId="6A0B3897" w14:textId="77777777" w:rsidR="00EE4FD7" w:rsidRPr="00CF35EE" w:rsidRDefault="00EE4FD7" w:rsidP="00EE4FD7">
      <w:pPr>
        <w:pStyle w:val="Default"/>
        <w:ind w:left="360"/>
        <w:rPr>
          <w:rFonts w:ascii="Times New Roman" w:hAnsi="Times New Roman" w:cs="Times New Roman"/>
          <w:color w:val="000000" w:themeColor="text1"/>
          <w:lang w:val="ru-RU"/>
        </w:rPr>
      </w:pPr>
      <w:r w:rsidRPr="00CF35EE">
        <w:rPr>
          <w:rFonts w:ascii="Times New Roman" w:hAnsi="Times New Roman" w:cs="Times New Roman"/>
          <w:color w:val="000000" w:themeColor="text1"/>
          <w:lang w:val="ru-RU"/>
        </w:rPr>
        <w:lastRenderedPageBreak/>
        <w:t>3. Требования к предоставляемым услугам</w:t>
      </w:r>
    </w:p>
    <w:p w14:paraId="4B86F0D1" w14:textId="77777777" w:rsidR="00EE4FD7" w:rsidRPr="00CF35EE" w:rsidRDefault="00EE4FD7" w:rsidP="00EE4FD7">
      <w:pPr>
        <w:pStyle w:val="Default"/>
        <w:ind w:left="360"/>
        <w:rPr>
          <w:rFonts w:ascii="Times New Roman" w:hAnsi="Times New Roman" w:cs="Times New Roman"/>
          <w:color w:val="000000" w:themeColor="text1"/>
          <w:lang w:val="ru-RU"/>
        </w:rPr>
      </w:pPr>
    </w:p>
    <w:p w14:paraId="12D1545A" w14:textId="77777777" w:rsidR="00EE4FD7" w:rsidRPr="00CF35EE" w:rsidRDefault="00EE4FD7" w:rsidP="00EE4FD7">
      <w:pPr>
        <w:pStyle w:val="Default"/>
        <w:ind w:left="360"/>
        <w:rPr>
          <w:rFonts w:ascii="Times New Roman" w:hAnsi="Times New Roman" w:cs="Times New Roman"/>
          <w:color w:val="000000" w:themeColor="text1"/>
          <w:lang w:val="ru-RU"/>
        </w:rPr>
      </w:pPr>
      <w:r w:rsidRPr="00CF35EE">
        <w:rPr>
          <w:rFonts w:ascii="Times New Roman" w:hAnsi="Times New Roman" w:cs="Times New Roman"/>
          <w:color w:val="000000" w:themeColor="text1"/>
          <w:lang w:val="ru-RU"/>
        </w:rPr>
        <w:t>Требования к проектированию и внедрению</w:t>
      </w:r>
    </w:p>
    <w:p w14:paraId="039DACAF" w14:textId="77777777" w:rsidR="00EE4FD7" w:rsidRPr="00CF35EE" w:rsidRDefault="00EE4FD7" w:rsidP="00EE4FD7">
      <w:pPr>
        <w:pStyle w:val="Default"/>
        <w:ind w:left="360"/>
        <w:rPr>
          <w:rFonts w:ascii="Times New Roman" w:hAnsi="Times New Roman" w:cs="Times New Roman"/>
          <w:bCs/>
          <w:color w:val="000000" w:themeColor="text1"/>
          <w:lang w:val="ru-RU"/>
        </w:rPr>
      </w:pPr>
    </w:p>
    <w:tbl>
      <w:tblPr>
        <w:tblW w:w="9715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33"/>
        <w:gridCol w:w="8369"/>
        <w:gridCol w:w="13"/>
      </w:tblGrid>
      <w:tr w:rsidR="00EE4FD7" w:rsidRPr="00CF35EE" w14:paraId="2C3DF9B9" w14:textId="77777777" w:rsidTr="00BE5F5A">
        <w:trPr>
          <w:gridAfter w:val="1"/>
          <w:wAfter w:w="13" w:type="dxa"/>
          <w:trHeight w:val="103"/>
        </w:trPr>
        <w:tc>
          <w:tcPr>
            <w:tcW w:w="1333" w:type="dxa"/>
            <w:shd w:val="clear" w:color="auto" w:fill="BFBFBF" w:themeFill="background1" w:themeFillShade="BF"/>
          </w:tcPr>
          <w:p w14:paraId="52F65A97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Номер</w:t>
            </w:r>
          </w:p>
        </w:tc>
        <w:tc>
          <w:tcPr>
            <w:tcW w:w="8369" w:type="dxa"/>
            <w:shd w:val="clear" w:color="auto" w:fill="BFBFBF" w:themeFill="background1" w:themeFillShade="BF"/>
          </w:tcPr>
          <w:p w14:paraId="4FFE225B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Описание</w:t>
            </w: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CF35EE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технических</w:t>
            </w: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CF35EE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требований</w:t>
            </w:r>
          </w:p>
          <w:p w14:paraId="6378CC2E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E4FD7" w:rsidRPr="00CF35EE" w14:paraId="3F5E5119" w14:textId="77777777" w:rsidTr="00BE5F5A">
        <w:trPr>
          <w:trHeight w:val="103"/>
        </w:trPr>
        <w:tc>
          <w:tcPr>
            <w:tcW w:w="9715" w:type="dxa"/>
            <w:gridSpan w:val="3"/>
            <w:shd w:val="clear" w:color="auto" w:fill="F2F2F2" w:themeFill="background1" w:themeFillShade="F2"/>
          </w:tcPr>
          <w:p w14:paraId="60A1EF18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Общие требования</w:t>
            </w:r>
          </w:p>
        </w:tc>
      </w:tr>
      <w:tr w:rsidR="00EE4FD7" w:rsidRPr="006F319C" w14:paraId="352EDBCA" w14:textId="77777777" w:rsidTr="00BE5F5A">
        <w:trPr>
          <w:gridAfter w:val="1"/>
          <w:wAfter w:w="13" w:type="dxa"/>
          <w:trHeight w:val="2615"/>
        </w:trPr>
        <w:tc>
          <w:tcPr>
            <w:tcW w:w="1333" w:type="dxa"/>
          </w:tcPr>
          <w:p w14:paraId="2059FCB5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79</w:t>
            </w:r>
          </w:p>
        </w:tc>
        <w:tc>
          <w:tcPr>
            <w:tcW w:w="8369" w:type="dxa"/>
          </w:tcPr>
          <w:p w14:paraId="37407050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Поставщик услуг должен начать начальный этап эксплуатации в течение шести (6) месяцев с момента подписания Соглашения в той мере, в какой необходимые действия находятся под контролем Поставщика услуг. Этот этап должен включать:</w:t>
            </w:r>
          </w:p>
          <w:p w14:paraId="3E218E9F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• Ядро Центральной системы мониторинга (ЦСМ);</w:t>
            </w:r>
          </w:p>
          <w:p w14:paraId="28693045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  <w:p w14:paraId="666D9DFB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• Систему списков исключений;</w:t>
            </w:r>
          </w:p>
          <w:p w14:paraId="16529B00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• Прием данных в режиме реального времени от всех онлайн-операторов;</w:t>
            </w:r>
          </w:p>
          <w:p w14:paraId="7A11094A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  <w:p w14:paraId="7A9E6838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• Как минимум одну панель отчетности;</w:t>
            </w:r>
          </w:p>
          <w:p w14:paraId="2A1134CA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  <w:p w14:paraId="7122FA61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• Комплексные меры безопасности для всех активных компонентов.</w:t>
            </w:r>
          </w:p>
          <w:p w14:paraId="65EC42A3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  <w:p w14:paraId="33C55A88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 xml:space="preserve">2. Полная реализация системы, включая интеграцию всех операторов, полную отчетность по данным, все операционные средства, расширенную аналитику и сертификацию </w:t>
            </w: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ISO</w:t>
            </w:r>
            <w:r w:rsidRPr="00CF35EE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 xml:space="preserve"> 27001, должна быть завершена в течение двадцати четырех (24) месяцев при поддержке Государственного комитета </w:t>
            </w:r>
            <w:r w:rsidRPr="00CF35EE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lastRenderedPageBreak/>
              <w:t>по доходам Республики Армения для содействия сотрудничеству операторов и соблюдению требований.</w:t>
            </w:r>
          </w:p>
        </w:tc>
      </w:tr>
      <w:tr w:rsidR="00EE4FD7" w:rsidRPr="006F319C" w14:paraId="32E151EC" w14:textId="77777777" w:rsidTr="00BE5F5A">
        <w:trPr>
          <w:gridAfter w:val="1"/>
          <w:wAfter w:w="13" w:type="dxa"/>
          <w:trHeight w:val="1895"/>
        </w:trPr>
        <w:tc>
          <w:tcPr>
            <w:tcW w:w="1333" w:type="dxa"/>
          </w:tcPr>
          <w:p w14:paraId="61B299B1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80</w:t>
            </w:r>
          </w:p>
          <w:p w14:paraId="1BBEF5D1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69" w:type="dxa"/>
          </w:tcPr>
          <w:p w14:paraId="07E91697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Каждый участник тендера должен представить в рамках своего предложения по запросу предложений полный график реализации проекта, охватывающий весь период его выполнения. График должен включать, как минимум:</w:t>
            </w:r>
          </w:p>
          <w:p w14:paraId="14145329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• Подробную диаграмму Ганта</w:t>
            </w:r>
          </w:p>
          <w:p w14:paraId="6AC6F720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• Этапы и зависимости</w:t>
            </w:r>
          </w:p>
          <w:p w14:paraId="6E037F68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• Поэтапный график интеграции операторов</w:t>
            </w:r>
          </w:p>
          <w:p w14:paraId="173BB17E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• График готовности эксплуатируемых объектов</w:t>
            </w:r>
          </w:p>
          <w:p w14:paraId="6814FA39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• График развертывания инфраструктуры и оборудования</w:t>
            </w:r>
          </w:p>
          <w:p w14:paraId="07D0598B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• Этапы тестирования и сроки приемки</w:t>
            </w:r>
          </w:p>
          <w:p w14:paraId="5F07CE22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• График реализации проекта для площадки аварийного восстановления (</w:t>
            </w:r>
            <w:r w:rsidRPr="00CF35EE">
              <w:rPr>
                <w:rFonts w:ascii="Times New Roman" w:hAnsi="Times New Roman" w:cs="Times New Roman"/>
                <w:color w:val="000000" w:themeColor="text1"/>
              </w:rPr>
              <w:t>DR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)</w:t>
            </w:r>
          </w:p>
          <w:p w14:paraId="497BE7BC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• Дорожную карту реализации мер безопасности</w:t>
            </w:r>
          </w:p>
          <w:p w14:paraId="3175FB07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• Распределение персонала и ресурсов</w:t>
            </w:r>
          </w:p>
          <w:p w14:paraId="162C0C52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График реализации проекта будет являться частью оценки технического предложения участника тендера и, в случае его выбора в качестве победителя, станет частью Соглашения. Окончательный график реализации должен быть согласован с Государственным налоговым комитетом Республики Армения (ГНК) на начальном этапе в соответствии с планом реализации, предложенным в техническом предложении поставщика услуг. График реализации является ориентировочным и может быть скорректирован на начальном этапе на основе фактических условий проекта, зависимостей и координации с Государственным налоговым комитетом Республики Армения.</w:t>
            </w:r>
          </w:p>
        </w:tc>
      </w:tr>
      <w:tr w:rsidR="00EE4FD7" w:rsidRPr="006F319C" w14:paraId="3B46CCBA" w14:textId="77777777" w:rsidTr="00BE5F5A">
        <w:trPr>
          <w:gridAfter w:val="1"/>
          <w:wAfter w:w="13" w:type="dxa"/>
          <w:trHeight w:val="334"/>
        </w:trPr>
        <w:tc>
          <w:tcPr>
            <w:tcW w:w="1333" w:type="dxa"/>
          </w:tcPr>
          <w:p w14:paraId="0910A40D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81</w:t>
            </w:r>
          </w:p>
          <w:p w14:paraId="5E724DFA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8369" w:type="dxa"/>
          </w:tcPr>
          <w:p w14:paraId="6226660E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Поэтапное внедрение допускается только при соблюдении следующих условий:</w:t>
            </w:r>
          </w:p>
          <w:p w14:paraId="7626190D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1. Полное обеспечение безопасности, целостности данных и точности налогообложения;</w:t>
            </w:r>
          </w:p>
          <w:p w14:paraId="2E9BEC21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  <w:p w14:paraId="2EBE70C0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2. Полная работоспособность системы исключений и ее интеграция со всеми операторами на начальном этапе запуска;</w:t>
            </w:r>
          </w:p>
          <w:p w14:paraId="5AF84985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  <w:p w14:paraId="02295002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3. Полная интеграция всех онлайн-операторов на начальном этапе;</w:t>
            </w:r>
          </w:p>
          <w:p w14:paraId="05EF044B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  <w:p w14:paraId="3D846121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4. Постепенное подключение и полная интеграция наземных игровых автоматов и операторов в течение восемнадцати (18) месяцев;</w:t>
            </w:r>
          </w:p>
          <w:p w14:paraId="1A8EFC15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</w:p>
          <w:p w14:paraId="7A6978A8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5. Одобрение каждого этапа Комитетом по государственным доходам Республики Армения (КГДА).</w:t>
            </w:r>
          </w:p>
        </w:tc>
      </w:tr>
      <w:tr w:rsidR="00EE4FD7" w:rsidRPr="00CF35EE" w14:paraId="074AF1ED" w14:textId="77777777" w:rsidTr="00BE5F5A">
        <w:trPr>
          <w:trHeight w:val="103"/>
        </w:trPr>
        <w:tc>
          <w:tcPr>
            <w:tcW w:w="9715" w:type="dxa"/>
            <w:gridSpan w:val="3"/>
            <w:shd w:val="clear" w:color="auto" w:fill="F2F2F2" w:themeFill="background1" w:themeFillShade="F2"/>
          </w:tcPr>
          <w:p w14:paraId="2628D39D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Начальная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фаза</w:t>
            </w:r>
            <w:proofErr w:type="spellEnd"/>
          </w:p>
        </w:tc>
      </w:tr>
      <w:tr w:rsidR="00EE4FD7" w:rsidRPr="006F319C" w14:paraId="637FD1A6" w14:textId="77777777" w:rsidTr="00BE5F5A">
        <w:trPr>
          <w:gridAfter w:val="1"/>
          <w:wAfter w:w="13" w:type="dxa"/>
          <w:trHeight w:val="334"/>
        </w:trPr>
        <w:tc>
          <w:tcPr>
            <w:tcW w:w="1333" w:type="dxa"/>
          </w:tcPr>
          <w:p w14:paraId="612FB3F0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82</w:t>
            </w:r>
          </w:p>
        </w:tc>
        <w:tc>
          <w:tcPr>
            <w:tcW w:w="8369" w:type="dxa"/>
          </w:tcPr>
          <w:p w14:paraId="7E16E9C8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В течение одного (1) месяца с момента начала действия контракта Поставщик услуг должен представить подробный план, соответствующий его первоначальному предложению, включая график, мероприятия, этапы и ожидаемые результаты. План должен учитывать:</w:t>
            </w:r>
          </w:p>
          <w:p w14:paraId="50139790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• Сроки завершения этапа проектирования проекта.</w:t>
            </w:r>
          </w:p>
          <w:p w14:paraId="1AAA5D89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14D30BAB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• Сроки поэтапной интеграции организаторов.</w:t>
            </w:r>
          </w:p>
          <w:p w14:paraId="7F7349C0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04E15885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• Графики подготовки операционных объектов.</w:t>
            </w:r>
          </w:p>
          <w:p w14:paraId="540D8CE7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26E368AA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• Развертывание инфраструктуры и оборудования.</w:t>
            </w:r>
          </w:p>
          <w:p w14:paraId="7D330710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29A2F1B1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• Время, необходимое для внедрения и поставки всех программных, аппаратных и технических компонентов, необходимых для предоставления конечных услуг.</w:t>
            </w:r>
          </w:p>
          <w:p w14:paraId="6B1ED6F5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19297608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• Время, необходимое для набора и обучения персонала.</w:t>
            </w:r>
          </w:p>
          <w:p w14:paraId="66A1E2A7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6B810106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• Ожидания Поставщика услуг от Государственного налогового комитета Республики Армения (ГНК) относительно принятия решений, консультаций, необходимой квалификации, рабочей силы и объектов.</w:t>
            </w:r>
          </w:p>
          <w:p w14:paraId="4F1133A5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61F73381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Другие аспекты, необходимые для успешного запуска проекта</w:t>
            </w:r>
          </w:p>
        </w:tc>
      </w:tr>
      <w:tr w:rsidR="00EE4FD7" w:rsidRPr="006F319C" w14:paraId="0F2D43C0" w14:textId="77777777" w:rsidTr="00BE5F5A">
        <w:trPr>
          <w:gridAfter w:val="1"/>
          <w:wAfter w:w="13" w:type="dxa"/>
          <w:trHeight w:val="334"/>
        </w:trPr>
        <w:tc>
          <w:tcPr>
            <w:tcW w:w="1333" w:type="dxa"/>
          </w:tcPr>
          <w:p w14:paraId="399ABBD3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 xml:space="preserve">83. </w:t>
            </w:r>
          </w:p>
        </w:tc>
        <w:tc>
          <w:tcPr>
            <w:tcW w:w="8369" w:type="dxa"/>
          </w:tcPr>
          <w:p w14:paraId="0024646C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83. На начальном этапе Поставщик услуг должен согласовать план реализации и эксплуатации с Государственным комитетом по доходам (ГКР) Республики Армения.</w:t>
            </w:r>
          </w:p>
        </w:tc>
      </w:tr>
      <w:tr w:rsidR="00EE4FD7" w:rsidRPr="00CF35EE" w14:paraId="755EE71D" w14:textId="77777777" w:rsidTr="00BE5F5A">
        <w:trPr>
          <w:trHeight w:val="103"/>
        </w:trPr>
        <w:tc>
          <w:tcPr>
            <w:tcW w:w="9715" w:type="dxa"/>
            <w:gridSpan w:val="3"/>
            <w:shd w:val="clear" w:color="auto" w:fill="F2F2F2" w:themeFill="background1" w:themeFillShade="F2"/>
          </w:tcPr>
          <w:p w14:paraId="568CDF49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Этап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проектирования</w:t>
            </w:r>
            <w:proofErr w:type="spellEnd"/>
          </w:p>
        </w:tc>
      </w:tr>
    </w:tbl>
    <w:p w14:paraId="54D52FA8" w14:textId="77777777" w:rsidR="00EE4FD7" w:rsidRPr="00CF35EE" w:rsidRDefault="00EE4FD7" w:rsidP="00EE4FD7">
      <w:pPr>
        <w:pStyle w:val="Default"/>
        <w:ind w:left="360"/>
        <w:rPr>
          <w:rFonts w:ascii="Times New Roman" w:hAnsi="Times New Roman" w:cs="Times New Roman"/>
          <w:color w:val="000000" w:themeColor="text1"/>
        </w:rPr>
      </w:pPr>
    </w:p>
    <w:p w14:paraId="11921E12" w14:textId="25274E5E" w:rsidR="00EE4FD7" w:rsidRPr="00CF35EE" w:rsidRDefault="00EE4FD7" w:rsidP="00EE4FD7">
      <w:pPr>
        <w:pStyle w:val="Default"/>
        <w:ind w:left="360"/>
        <w:rPr>
          <w:rFonts w:ascii="Times New Roman" w:hAnsi="Times New Roman" w:cs="Times New Roman"/>
          <w:bCs/>
          <w:color w:val="000000" w:themeColor="text1"/>
        </w:rPr>
      </w:pPr>
    </w:p>
    <w:tbl>
      <w:tblPr>
        <w:tblW w:w="9715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33"/>
        <w:gridCol w:w="8369"/>
        <w:gridCol w:w="13"/>
      </w:tblGrid>
      <w:tr w:rsidR="00EE4FD7" w:rsidRPr="00CF35EE" w14:paraId="51BC804F" w14:textId="77777777" w:rsidTr="00BE5F5A">
        <w:trPr>
          <w:gridAfter w:val="1"/>
          <w:wAfter w:w="13" w:type="dxa"/>
          <w:trHeight w:val="103"/>
        </w:trPr>
        <w:tc>
          <w:tcPr>
            <w:tcW w:w="1333" w:type="dxa"/>
            <w:shd w:val="clear" w:color="auto" w:fill="BFBFBF" w:themeFill="background1" w:themeFillShade="BF"/>
          </w:tcPr>
          <w:p w14:paraId="2D984A71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Номер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8369" w:type="dxa"/>
            <w:shd w:val="clear" w:color="auto" w:fill="BFBFBF" w:themeFill="background1" w:themeFillShade="BF"/>
          </w:tcPr>
          <w:p w14:paraId="466CA9D7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Описание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технических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требований</w:t>
            </w:r>
            <w:proofErr w:type="spellEnd"/>
          </w:p>
        </w:tc>
      </w:tr>
      <w:tr w:rsidR="00EE4FD7" w:rsidRPr="006F319C" w14:paraId="2981C7AD" w14:textId="77777777" w:rsidTr="00BE5F5A">
        <w:trPr>
          <w:gridAfter w:val="1"/>
          <w:wAfter w:w="13" w:type="dxa"/>
          <w:trHeight w:val="103"/>
        </w:trPr>
        <w:tc>
          <w:tcPr>
            <w:tcW w:w="1333" w:type="dxa"/>
          </w:tcPr>
          <w:p w14:paraId="4793436C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84</w:t>
            </w:r>
          </w:p>
        </w:tc>
        <w:tc>
          <w:tcPr>
            <w:tcW w:w="8369" w:type="dxa"/>
          </w:tcPr>
          <w:p w14:paraId="778E4F36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Поставщик услуг должен предоставить подробное описание процедур сбора и обработки данных и привести их в соответствие с требованиями Государственного комитета по доходам Армении (ГКР).</w:t>
            </w:r>
          </w:p>
        </w:tc>
      </w:tr>
      <w:tr w:rsidR="00EE4FD7" w:rsidRPr="006F319C" w14:paraId="7C68F2E9" w14:textId="77777777" w:rsidTr="00BE5F5A">
        <w:trPr>
          <w:gridAfter w:val="1"/>
          <w:wAfter w:w="13" w:type="dxa"/>
          <w:trHeight w:val="103"/>
        </w:trPr>
        <w:tc>
          <w:tcPr>
            <w:tcW w:w="1333" w:type="dxa"/>
          </w:tcPr>
          <w:p w14:paraId="72D5F177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85</w:t>
            </w:r>
          </w:p>
        </w:tc>
        <w:tc>
          <w:tcPr>
            <w:tcW w:w="8369" w:type="dxa"/>
          </w:tcPr>
          <w:p w14:paraId="149D5639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Поставщик услуг должен согласовать с Государственным налоговым комитетом Армении (ГНК) детальный план сети действующих объектов, а при наличии более одного объекта — и географическую сеть, в соответствии со своим техническим предложением, представленным на тендерном этапе, включая:</w:t>
            </w:r>
          </w:p>
          <w:p w14:paraId="73018313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• Местоположение объекта</w:t>
            </w:r>
          </w:p>
          <w:p w14:paraId="1C0E5CDA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• Форму собственности</w:t>
            </w:r>
          </w:p>
          <w:p w14:paraId="6E0CCEDD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  <w:lang w:val="ru-RU"/>
              </w:rPr>
              <w:t>• Планируемую дату начала эксплуатации</w:t>
            </w:r>
          </w:p>
        </w:tc>
      </w:tr>
      <w:tr w:rsidR="00EE4FD7" w:rsidRPr="006F319C" w14:paraId="398FC970" w14:textId="77777777" w:rsidTr="00BE5F5A">
        <w:trPr>
          <w:gridAfter w:val="1"/>
          <w:wAfter w:w="13" w:type="dxa"/>
          <w:trHeight w:val="103"/>
        </w:trPr>
        <w:tc>
          <w:tcPr>
            <w:tcW w:w="1333" w:type="dxa"/>
          </w:tcPr>
          <w:p w14:paraId="613BD3F2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86</w:t>
            </w:r>
          </w:p>
        </w:tc>
        <w:tc>
          <w:tcPr>
            <w:tcW w:w="8369" w:type="dxa"/>
          </w:tcPr>
          <w:p w14:paraId="4F3EDC21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Поставщик услуг должен разработать полный комплект документации, включая стандартные операционные процедуры (СОП) и полную документацию по архитектуре системы, охватывающую потоки данных, интерфейсы, средства контроля безопасности, права доступа и обработку исключений. Также должны быть разработаны подробные проекты для следующих областей: архитектура аварийного восстановления (</w:t>
            </w:r>
            <w:r w:rsidRPr="00CF35EE">
              <w:rPr>
                <w:rFonts w:ascii="Times New Roman" w:hAnsi="Times New Roman" w:cs="Times New Roman"/>
                <w:color w:val="000000" w:themeColor="text1"/>
              </w:rPr>
              <w:t>DR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), стратегии резервного копирования и хранения данных, интеграция с организационными системами, спецификации </w:t>
            </w:r>
            <w:r w:rsidRPr="00CF35EE">
              <w:rPr>
                <w:rFonts w:ascii="Times New Roman" w:hAnsi="Times New Roman" w:cs="Times New Roman"/>
                <w:color w:val="000000" w:themeColor="text1"/>
              </w:rPr>
              <w:t>API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, проектирование системы мониторинга и средства контроля безопасности. Документация 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 xml:space="preserve">должна поддерживаться и обновляться в течение всего срока действия контракта и должна быть предоставлена ​​Государственному комитету по доходам </w:t>
            </w:r>
            <w:r w:rsidRPr="00CF35EE">
              <w:rPr>
                <w:rFonts w:ascii="Times New Roman" w:hAnsi="Times New Roman" w:cs="Times New Roman"/>
                <w:color w:val="000000" w:themeColor="text1"/>
              </w:rPr>
              <w:t>RA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в рамках передачи системы по окончании контракта.</w:t>
            </w:r>
          </w:p>
        </w:tc>
      </w:tr>
      <w:tr w:rsidR="00EE4FD7" w:rsidRPr="00CF35EE" w14:paraId="28329AA2" w14:textId="77777777" w:rsidTr="00BE5F5A">
        <w:trPr>
          <w:trHeight w:val="103"/>
        </w:trPr>
        <w:tc>
          <w:tcPr>
            <w:tcW w:w="9715" w:type="dxa"/>
            <w:gridSpan w:val="3"/>
            <w:shd w:val="clear" w:color="auto" w:fill="F2F2F2" w:themeFill="background1" w:themeFillShade="F2"/>
          </w:tcPr>
          <w:p w14:paraId="5C2F934B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lastRenderedPageBreak/>
              <w:t>Этап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строительства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 и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испытаний</w:t>
            </w:r>
            <w:proofErr w:type="spellEnd"/>
          </w:p>
        </w:tc>
      </w:tr>
      <w:tr w:rsidR="00EE4FD7" w:rsidRPr="006F319C" w14:paraId="6E603F48" w14:textId="77777777" w:rsidTr="00BE5F5A">
        <w:trPr>
          <w:gridAfter w:val="1"/>
          <w:wAfter w:w="13" w:type="dxa"/>
          <w:trHeight w:val="103"/>
        </w:trPr>
        <w:tc>
          <w:tcPr>
            <w:tcW w:w="1333" w:type="dxa"/>
          </w:tcPr>
          <w:p w14:paraId="38631264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87</w:t>
            </w:r>
          </w:p>
        </w:tc>
        <w:tc>
          <w:tcPr>
            <w:tcW w:w="8369" w:type="dxa"/>
          </w:tcPr>
          <w:p w14:paraId="4BC5627D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Проведение тестирования является обязанностью поставщика услуг, однако </w:t>
            </w:r>
            <w:r w:rsidRPr="00CF35EE">
              <w:rPr>
                <w:rFonts w:ascii="Times New Roman" w:hAnsi="Times New Roman" w:cs="Times New Roman"/>
                <w:color w:val="000000" w:themeColor="text1"/>
              </w:rPr>
              <w:t>RA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CF35EE">
              <w:rPr>
                <w:rFonts w:ascii="Times New Roman" w:hAnsi="Times New Roman" w:cs="Times New Roman"/>
                <w:color w:val="000000" w:themeColor="text1"/>
              </w:rPr>
              <w:t>SRA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может привлекать внешних экспертов или проводить проверки в отношении тестов, выполненных поставщиком услуг.</w:t>
            </w:r>
          </w:p>
        </w:tc>
      </w:tr>
      <w:tr w:rsidR="00EE4FD7" w:rsidRPr="006F319C" w14:paraId="56833351" w14:textId="77777777" w:rsidTr="00BE5F5A">
        <w:trPr>
          <w:gridAfter w:val="1"/>
          <w:wAfter w:w="13" w:type="dxa"/>
          <w:trHeight w:val="103"/>
        </w:trPr>
        <w:tc>
          <w:tcPr>
            <w:tcW w:w="1333" w:type="dxa"/>
          </w:tcPr>
          <w:p w14:paraId="7D68A03E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88</w:t>
            </w:r>
          </w:p>
        </w:tc>
        <w:tc>
          <w:tcPr>
            <w:tcW w:w="8369" w:type="dxa"/>
          </w:tcPr>
          <w:p w14:paraId="31D86ABA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Поставщик услуг должен, при необходимости, подготовить план тестирования и приемки (программу тестирования). Этот план должен быть утвержден Управлением по регулированию услуг и безопасности (УОРБ).</w:t>
            </w:r>
          </w:p>
        </w:tc>
      </w:tr>
      <w:tr w:rsidR="00EE4FD7" w:rsidRPr="006F319C" w14:paraId="0C8096C2" w14:textId="77777777" w:rsidTr="00BE5F5A">
        <w:trPr>
          <w:gridAfter w:val="1"/>
          <w:wAfter w:w="13" w:type="dxa"/>
          <w:trHeight w:val="103"/>
        </w:trPr>
        <w:tc>
          <w:tcPr>
            <w:tcW w:w="1333" w:type="dxa"/>
          </w:tcPr>
          <w:p w14:paraId="02548ACA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89</w:t>
            </w:r>
          </w:p>
        </w:tc>
        <w:tc>
          <w:tcPr>
            <w:tcW w:w="8369" w:type="dxa"/>
          </w:tcPr>
          <w:p w14:paraId="005D0B21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По запросу УОРБ поставщик услуг должен провести ограниченную по объему реализацию проекта с наземным и онлайн-оператором, чтобы продемонстрировать соответствие требованиям.</w:t>
            </w:r>
          </w:p>
        </w:tc>
      </w:tr>
      <w:tr w:rsidR="00EE4FD7" w:rsidRPr="00CF35EE" w14:paraId="57271900" w14:textId="77777777" w:rsidTr="00BE5F5A">
        <w:trPr>
          <w:trHeight w:val="103"/>
        </w:trPr>
        <w:tc>
          <w:tcPr>
            <w:tcW w:w="9715" w:type="dxa"/>
            <w:gridSpan w:val="3"/>
            <w:shd w:val="clear" w:color="auto" w:fill="F2F2F2" w:themeFill="background1" w:themeFillShade="F2"/>
          </w:tcPr>
          <w:p w14:paraId="3C244991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Мониторинг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хода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выполнения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проекта</w:t>
            </w:r>
            <w:proofErr w:type="spellEnd"/>
          </w:p>
        </w:tc>
      </w:tr>
      <w:tr w:rsidR="00EE4FD7" w:rsidRPr="006F319C" w14:paraId="51EB763D" w14:textId="77777777" w:rsidTr="00BE5F5A">
        <w:trPr>
          <w:gridAfter w:val="1"/>
          <w:wAfter w:w="13" w:type="dxa"/>
          <w:trHeight w:val="103"/>
        </w:trPr>
        <w:tc>
          <w:tcPr>
            <w:tcW w:w="1333" w:type="dxa"/>
          </w:tcPr>
          <w:p w14:paraId="11F6EB8C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90</w:t>
            </w:r>
          </w:p>
        </w:tc>
        <w:tc>
          <w:tcPr>
            <w:tcW w:w="8369" w:type="dxa"/>
          </w:tcPr>
          <w:p w14:paraId="48B70578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Поставщик услуг обязан представлять письменный отчет каждые две недели, указывая, в зависимости от ситуации:</w:t>
            </w:r>
          </w:p>
          <w:p w14:paraId="30599B7F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• Выполненную работу;</w:t>
            </w:r>
          </w:p>
          <w:p w14:paraId="78AF14E0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• Достигнутый прогресс в соответствии с графиком проекта;</w:t>
            </w:r>
          </w:p>
          <w:p w14:paraId="6FC0C8FD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• Выявленные проблемы или риски, а также предлагаемые решения.</w:t>
            </w:r>
          </w:p>
        </w:tc>
      </w:tr>
      <w:tr w:rsidR="00EE4FD7" w:rsidRPr="006F319C" w14:paraId="67369CA0" w14:textId="77777777" w:rsidTr="00BE5F5A">
        <w:trPr>
          <w:gridAfter w:val="1"/>
          <w:wAfter w:w="13" w:type="dxa"/>
          <w:trHeight w:val="103"/>
        </w:trPr>
        <w:tc>
          <w:tcPr>
            <w:tcW w:w="1333" w:type="dxa"/>
          </w:tcPr>
          <w:p w14:paraId="5123E464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91</w:t>
            </w:r>
          </w:p>
        </w:tc>
        <w:tc>
          <w:tcPr>
            <w:tcW w:w="8369" w:type="dxa"/>
          </w:tcPr>
          <w:p w14:paraId="68FDAF2F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При необходимости поставщик услуг должен участвовать в регулярных совещаниях по ходу выполнения проекта и составлять протоколы совещаний, в которых будут документироваться ключевые обсуждаемые вопросы, согласованные действия, принятые решения и соответствующие сроки их выполнения.</w:t>
            </w:r>
          </w:p>
        </w:tc>
      </w:tr>
      <w:tr w:rsidR="00EE4FD7" w:rsidRPr="00CF35EE" w14:paraId="327D2407" w14:textId="77777777" w:rsidTr="00BE5F5A">
        <w:trPr>
          <w:trHeight w:val="103"/>
        </w:trPr>
        <w:tc>
          <w:tcPr>
            <w:tcW w:w="9715" w:type="dxa"/>
            <w:gridSpan w:val="3"/>
            <w:shd w:val="clear" w:color="auto" w:fill="F2F2F2" w:themeFill="background1" w:themeFillShade="F2"/>
          </w:tcPr>
          <w:p w14:paraId="35239E50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hy-AM"/>
              </w:rPr>
            </w:pP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Общий</w:t>
            </w:r>
            <w:proofErr w:type="spellEnd"/>
          </w:p>
        </w:tc>
      </w:tr>
      <w:tr w:rsidR="00EE4FD7" w:rsidRPr="006F319C" w14:paraId="69A0E0CB" w14:textId="77777777" w:rsidTr="00BE5F5A">
        <w:trPr>
          <w:gridAfter w:val="1"/>
          <w:wAfter w:w="13" w:type="dxa"/>
          <w:trHeight w:val="103"/>
        </w:trPr>
        <w:tc>
          <w:tcPr>
            <w:tcW w:w="1333" w:type="dxa"/>
          </w:tcPr>
          <w:p w14:paraId="05DBE688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92</w:t>
            </w:r>
          </w:p>
        </w:tc>
        <w:tc>
          <w:tcPr>
            <w:tcW w:w="8369" w:type="dxa"/>
          </w:tcPr>
          <w:p w14:paraId="6027958B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Поставщик услуг обязан обеспечить наличие необходимого персонала в Оперативном подразделении (подразделениях), включая проведение необходимого обучения.</w:t>
            </w:r>
          </w:p>
        </w:tc>
      </w:tr>
      <w:tr w:rsidR="00EE4FD7" w:rsidRPr="006F319C" w14:paraId="74A37786" w14:textId="77777777" w:rsidTr="00BE5F5A">
        <w:trPr>
          <w:gridAfter w:val="1"/>
          <w:wAfter w:w="13" w:type="dxa"/>
          <w:trHeight w:val="103"/>
        </w:trPr>
        <w:tc>
          <w:tcPr>
            <w:tcW w:w="1333" w:type="dxa"/>
          </w:tcPr>
          <w:p w14:paraId="5BDCA9C8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93</w:t>
            </w:r>
          </w:p>
        </w:tc>
        <w:tc>
          <w:tcPr>
            <w:tcW w:w="8369" w:type="dxa"/>
          </w:tcPr>
          <w:p w14:paraId="3B6A35EC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Операционная организация должна иметь как минимум одного сотрудника службы безопасности, ответственного за проверку личности и авторизации лиц, входящих на территорию объекта.</w:t>
            </w:r>
          </w:p>
        </w:tc>
      </w:tr>
      <w:tr w:rsidR="00EE4FD7" w:rsidRPr="006F319C" w14:paraId="6A8E0BA1" w14:textId="77777777" w:rsidTr="00BE5F5A">
        <w:trPr>
          <w:gridAfter w:val="1"/>
          <w:wAfter w:w="13" w:type="dxa"/>
          <w:trHeight w:val="103"/>
        </w:trPr>
        <w:tc>
          <w:tcPr>
            <w:tcW w:w="1333" w:type="dxa"/>
          </w:tcPr>
          <w:p w14:paraId="3E2D32E3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94</w:t>
            </w:r>
          </w:p>
        </w:tc>
        <w:tc>
          <w:tcPr>
            <w:tcW w:w="8369" w:type="dxa"/>
          </w:tcPr>
          <w:p w14:paraId="6705F4D2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Поставщик услуг должен внедрить и поддерживать программу безопасности на протяжении всего проекта, которая включает в себя соответствующие административные, технические и физические меры безопасности, обеспечивает конфиденциальность, целостность, доступность и безопасность информации поставщика услуг, его пользователей и систем, а также соответствует стандарту </w:t>
            </w:r>
            <w:r w:rsidRPr="00CF35EE">
              <w:rPr>
                <w:rFonts w:ascii="Times New Roman" w:hAnsi="Times New Roman" w:cs="Times New Roman"/>
                <w:color w:val="000000" w:themeColor="text1"/>
              </w:rPr>
              <w:t>ISO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27001.</w:t>
            </w:r>
          </w:p>
        </w:tc>
      </w:tr>
      <w:tr w:rsidR="00EE4FD7" w:rsidRPr="006F319C" w14:paraId="6EFDBC70" w14:textId="77777777" w:rsidTr="00BE5F5A">
        <w:trPr>
          <w:gridAfter w:val="1"/>
          <w:wAfter w:w="13" w:type="dxa"/>
          <w:trHeight w:val="103"/>
        </w:trPr>
        <w:tc>
          <w:tcPr>
            <w:tcW w:w="1333" w:type="dxa"/>
          </w:tcPr>
          <w:p w14:paraId="66611C8B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95</w:t>
            </w:r>
          </w:p>
        </w:tc>
        <w:tc>
          <w:tcPr>
            <w:tcW w:w="8369" w:type="dxa"/>
          </w:tcPr>
          <w:p w14:paraId="3690E068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Поставщик услуг обязан обеспечить техническое обслуживание и эксплуатацию программного обеспечения, аппаратного обеспечения и оборудования глобальной ИТ-системы на протяжении всего срока действия контракта, охватывая как инфраструктуру, расположенную на территории Армении, так и инфраструктуру, расположенную за рубежом.</w:t>
            </w:r>
          </w:p>
        </w:tc>
      </w:tr>
      <w:tr w:rsidR="00EE4FD7" w:rsidRPr="006F319C" w14:paraId="13190D8B" w14:textId="77777777" w:rsidTr="00BE5F5A">
        <w:trPr>
          <w:gridAfter w:val="1"/>
          <w:wAfter w:w="13" w:type="dxa"/>
          <w:trHeight w:val="103"/>
        </w:trPr>
        <w:tc>
          <w:tcPr>
            <w:tcW w:w="1333" w:type="dxa"/>
          </w:tcPr>
          <w:p w14:paraId="1732F98B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96</w:t>
            </w:r>
          </w:p>
        </w:tc>
        <w:tc>
          <w:tcPr>
            <w:tcW w:w="8369" w:type="dxa"/>
          </w:tcPr>
          <w:p w14:paraId="199C0FDB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Поставщик услуг обязан обеспечить функционирование всех эксплуатационных объектов, включая техническое обслуживание зданий, ремонт, уборку, контроль микроклимата и оборудование для физической безопасности.</w:t>
            </w:r>
          </w:p>
        </w:tc>
      </w:tr>
      <w:tr w:rsidR="00EE4FD7" w:rsidRPr="00CF35EE" w14:paraId="456A05F8" w14:textId="77777777" w:rsidTr="00BE5F5A">
        <w:trPr>
          <w:gridAfter w:val="1"/>
          <w:wAfter w:w="13" w:type="dxa"/>
          <w:trHeight w:val="103"/>
        </w:trPr>
        <w:tc>
          <w:tcPr>
            <w:tcW w:w="1333" w:type="dxa"/>
          </w:tcPr>
          <w:p w14:paraId="43293DD3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97</w:t>
            </w:r>
          </w:p>
        </w:tc>
        <w:tc>
          <w:tcPr>
            <w:tcW w:w="8369" w:type="dxa"/>
          </w:tcPr>
          <w:p w14:paraId="2035A790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Избранные сотрудники должны пройти проверку биографических данных и благонадежности, проводимую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Государственным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комитетом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по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доходам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Республики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F35EE">
              <w:rPr>
                <w:rFonts w:ascii="Times New Roman" w:hAnsi="Times New Roman" w:cs="Times New Roman"/>
                <w:color w:val="000000" w:themeColor="text1"/>
              </w:rPr>
              <w:t>Армения</w:t>
            </w:r>
            <w:proofErr w:type="spellEnd"/>
            <w:r w:rsidRPr="00CF35EE">
              <w:rPr>
                <w:rFonts w:ascii="Times New Roman" w:hAnsi="Times New Roman" w:cs="Times New Roman"/>
                <w:color w:val="000000" w:themeColor="text1"/>
              </w:rPr>
              <w:t xml:space="preserve"> (ГКР).</w:t>
            </w:r>
          </w:p>
        </w:tc>
      </w:tr>
      <w:tr w:rsidR="00EE4FD7" w:rsidRPr="006F319C" w14:paraId="57BAFD74" w14:textId="77777777" w:rsidTr="00BE5F5A">
        <w:trPr>
          <w:gridAfter w:val="1"/>
          <w:wAfter w:w="13" w:type="dxa"/>
          <w:trHeight w:val="103"/>
        </w:trPr>
        <w:tc>
          <w:tcPr>
            <w:tcW w:w="1333" w:type="dxa"/>
          </w:tcPr>
          <w:p w14:paraId="0F73DFF3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98</w:t>
            </w:r>
          </w:p>
        </w:tc>
        <w:tc>
          <w:tcPr>
            <w:tcW w:w="8369" w:type="dxa"/>
          </w:tcPr>
          <w:p w14:paraId="6B63337C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Поставщик услуг обязан вернуть все активы Государственному комитету по доходам Республики Армения в соответствии с договором, при этом такие активы должны быть четко определены в рамках договорных обязательств.</w:t>
            </w:r>
          </w:p>
        </w:tc>
      </w:tr>
      <w:tr w:rsidR="00EE4FD7" w:rsidRPr="006F319C" w14:paraId="15281755" w14:textId="77777777" w:rsidTr="00BE5F5A">
        <w:trPr>
          <w:gridAfter w:val="1"/>
          <w:wAfter w:w="13" w:type="dxa"/>
          <w:trHeight w:val="103"/>
        </w:trPr>
        <w:tc>
          <w:tcPr>
            <w:tcW w:w="1333" w:type="dxa"/>
          </w:tcPr>
          <w:p w14:paraId="3B9A2A13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99</w:t>
            </w:r>
          </w:p>
        </w:tc>
        <w:tc>
          <w:tcPr>
            <w:tcW w:w="8369" w:type="dxa"/>
          </w:tcPr>
          <w:p w14:paraId="244CFA10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Не менее чем за шесть (6) месяцев до истечения срока действия контракта поставщик услуг обязан:</w:t>
            </w:r>
          </w:p>
          <w:p w14:paraId="38220584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• Обучить персонал Государственного налогового комитета РА или нового поставщика услуг;</w:t>
            </w:r>
          </w:p>
          <w:p w14:paraId="0C3A5A4B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35A6B1B5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• Оказать поддержку в миграции данных;</w:t>
            </w:r>
          </w:p>
          <w:p w14:paraId="56FC4B03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27D69F43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• Оказать помощь в интеграции системы;</w:t>
            </w:r>
          </w:p>
          <w:p w14:paraId="6FA899C4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321FD889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• Предоставить временную оперативную поддержку;</w:t>
            </w:r>
          </w:p>
          <w:p w14:paraId="0AC2BBA4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6BA53B12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• Принять участие в совместных совещаниях по управлению переходным периодом;</w:t>
            </w:r>
          </w:p>
          <w:p w14:paraId="3CD82018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4A540A9D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• Ежемесячно предоставлять отчеты о передаче дел.</w:t>
            </w:r>
          </w:p>
        </w:tc>
      </w:tr>
      <w:tr w:rsidR="00EE4FD7" w:rsidRPr="006F319C" w14:paraId="167CA15D" w14:textId="77777777" w:rsidTr="00BE5F5A">
        <w:trPr>
          <w:gridAfter w:val="1"/>
          <w:wAfter w:w="13" w:type="dxa"/>
          <w:trHeight w:val="103"/>
        </w:trPr>
        <w:tc>
          <w:tcPr>
            <w:tcW w:w="1333" w:type="dxa"/>
          </w:tcPr>
          <w:p w14:paraId="3E13D9BE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100</w:t>
            </w:r>
          </w:p>
        </w:tc>
        <w:tc>
          <w:tcPr>
            <w:tcW w:w="8369" w:type="dxa"/>
          </w:tcPr>
          <w:p w14:paraId="1A951AE7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1. Полная и окончательная версия технических спецификаций для центральной системы мониторинга и связанных с ней подсистем, включая:</w:t>
            </w:r>
          </w:p>
          <w:p w14:paraId="6535D154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1.1 Описание архитектуры, включая взаимосвязи компонентов, границы системы, рабочие процессы и потоки связи. 1.2 Описание реализации, подробно описывающее, как каждое требование из документа «Технические требования» реализуется в центральной системе мониторинга, со ссылками на модули, экраны, </w:t>
            </w:r>
            <w:r w:rsidRPr="00CF35EE">
              <w:rPr>
                <w:rFonts w:ascii="Times New Roman" w:hAnsi="Times New Roman" w:cs="Times New Roman"/>
                <w:color w:val="000000" w:themeColor="text1"/>
              </w:rPr>
              <w:t>API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, правила или конфигурации. 1.3 Каталог параметров конфигурации, включая системные правила, пороговые значения, ограничения, средства контроля безопасности, правила оповещения/уведомления и операционные настройки.</w:t>
            </w:r>
          </w:p>
          <w:p w14:paraId="5CAC734F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5ED077D6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1.4 Структура базы данных и модель данных, включая определения схемы, описания таблиц, связи, словари данных, структуры индексирования, правила хранения и структуры архивирования. 1.5 Документация отчетов и аналитики, включая определения отчетов, запросы, формулы, </w:t>
            </w:r>
            <w:r w:rsidRPr="00CF35EE">
              <w:rPr>
                <w:rFonts w:ascii="Times New Roman" w:hAnsi="Times New Roman" w:cs="Times New Roman"/>
                <w:color w:val="000000" w:themeColor="text1"/>
              </w:rPr>
              <w:t>KPI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и сопоставление источников данных. 1.6 Спецификации интеграции, включая все интеграции с организационными системами, сторонними системами, государственными системами, облачными компонентами, платежными системами, поставщиками данных и инструментами мониторинга, с определениями </w:t>
            </w:r>
            <w:r w:rsidRPr="00CF35EE">
              <w:rPr>
                <w:rFonts w:ascii="Times New Roman" w:hAnsi="Times New Roman" w:cs="Times New Roman"/>
                <w:color w:val="000000" w:themeColor="text1"/>
              </w:rPr>
              <w:t>API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, форматами сообщений, правилами обработки ошибок и версионированием. 1.7 Документация пользовательской функциональности, включая:</w:t>
            </w:r>
          </w:p>
          <w:p w14:paraId="7E923A49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• Функциональные описания;</w:t>
            </w:r>
          </w:p>
          <w:p w14:paraId="4AD2F1CA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1992A22F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• Файлы и каталоги исходного кода;</w:t>
            </w:r>
          </w:p>
          <w:p w14:paraId="2964A9B6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15CF6D48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• Диаграммы логики компонентов;</w:t>
            </w:r>
          </w:p>
          <w:p w14:paraId="51A0258B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07CD1CCB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• Файлы конфигурации;</w:t>
            </w:r>
          </w:p>
          <w:p w14:paraId="62D63C4F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4FD4951D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• Алгоритмы, используемые для проверки данных, отчетности, проверки возврата игроков, последовательности событий и обнаружения мошенничества;</w:t>
            </w:r>
          </w:p>
          <w:p w14:paraId="29696163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4AC9E35D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• Нестандартные модули и инструменты.</w:t>
            </w:r>
          </w:p>
          <w:p w14:paraId="3E243CCE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0F3D7265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1.8 Диаграммы потоков данных, включая перемещение данных, точки преобразования, потоки хранения и потоки удаления/уничтожения. 1.9 Документация по средствам контроля безопасности, включая методы шифрования, управление ключами, правила контроля доступа, управление журналами, процедуры аудита и меры по снижению уязвимостей. 2. Документация для пользователей и администраторов</w:t>
            </w:r>
          </w:p>
          <w:p w14:paraId="435A5213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2.1 Руководства пользователя для Центральной системы мониторинга, Системы списков исключений, Системы отчетности, Системы аудита и соответствия требованиям и инструментов оперативного управления объектом. 2.2 Руководства администратора, включая конфигурацию системы, настройку среды, операции обслуживания и руководства по устранению неполадок. 2.3 Учебные материалы, включая пошаговые инструкции, руководства, примеры упражнений и видеодемонстрации основных рабочих процессов. 2.4 Матрица конфигурации ролей и разрешений, включая все роли пользователей, назначенные разрешения, условия доступа, рабочие процессы утверждения и средства контроля разделения обязанностей. 3. Документация по технологической инфраструктуре</w:t>
            </w:r>
          </w:p>
          <w:p w14:paraId="7B0B8461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3.1 Архитектура инфраструктуры, включая сетевые диаграммы, технические характеристики оборудования, архитектуру хранения данных, виртуализацию/контейнеризацию, облачные компоненты и конфигурации балансировки нагрузки. 3.2 Технические характеристики оборудования, включая подробную информацию о каждом компоненте, такую ​​как процессор (ЦП), память (ОЗУ), хранилище, </w:t>
            </w:r>
            <w:r w:rsidRPr="00CF35EE">
              <w:rPr>
                <w:rFonts w:ascii="Times New Roman" w:hAnsi="Times New Roman" w:cs="Times New Roman"/>
                <w:color w:val="000000" w:themeColor="text1"/>
              </w:rPr>
              <w:t>IOPS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(операции ввода/вывода в секунду), пропускная способность сети, уровень резервирования и производительность. 3.3 Перечень установленного программного 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обеспечения, включая версии операционных систем, систем баз данных, промежуточного программного обеспечения, серверов приложений, инструментов мониторинга, инструментов кибербезопасности и информацию о лицензировании. 3.4 Сетевая топология, включая логические сетевые сегменты (</w:t>
            </w:r>
            <w:r w:rsidRPr="00CF35EE">
              <w:rPr>
                <w:rFonts w:ascii="Times New Roman" w:hAnsi="Times New Roman" w:cs="Times New Roman"/>
                <w:color w:val="000000" w:themeColor="text1"/>
              </w:rPr>
              <w:t>VLAN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), межсетевые экраны, правила маршрутизации, зоны безопасности, </w:t>
            </w:r>
            <w:r w:rsidRPr="00CF35EE">
              <w:rPr>
                <w:rFonts w:ascii="Times New Roman" w:hAnsi="Times New Roman" w:cs="Times New Roman"/>
                <w:color w:val="000000" w:themeColor="text1"/>
              </w:rPr>
              <w:t>VPN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и требования к внешнему подключению. 3.5 Проектирование среды, включая среды разработки, тестирования/промежуточного развертывания, производства, аварийного восстановления (</w:t>
            </w:r>
            <w:r w:rsidRPr="00CF35EE">
              <w:rPr>
                <w:rFonts w:ascii="Times New Roman" w:hAnsi="Times New Roman" w:cs="Times New Roman"/>
                <w:color w:val="000000" w:themeColor="text1"/>
              </w:rPr>
              <w:t>DR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) и резервного копирования. Документация по обеспечению непрерывности бизнеса и аварийному восстановлению</w:t>
            </w:r>
          </w:p>
          <w:p w14:paraId="03E28982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4.1 План аварийного восстановления (</w:t>
            </w:r>
            <w:r w:rsidRPr="00CF35EE">
              <w:rPr>
                <w:rFonts w:ascii="Times New Roman" w:hAnsi="Times New Roman" w:cs="Times New Roman"/>
                <w:color w:val="000000" w:themeColor="text1"/>
              </w:rPr>
              <w:t>DR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), включая архитектуру </w:t>
            </w:r>
            <w:r w:rsidRPr="00CF35EE">
              <w:rPr>
                <w:rFonts w:ascii="Times New Roman" w:hAnsi="Times New Roman" w:cs="Times New Roman"/>
                <w:color w:val="000000" w:themeColor="text1"/>
              </w:rPr>
              <w:t>DR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, логику переключения с основной среды на среду </w:t>
            </w:r>
            <w:r w:rsidRPr="00CF35EE">
              <w:rPr>
                <w:rFonts w:ascii="Times New Roman" w:hAnsi="Times New Roman" w:cs="Times New Roman"/>
                <w:color w:val="000000" w:themeColor="text1"/>
              </w:rPr>
              <w:t>DR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, значения </w:t>
            </w:r>
            <w:r w:rsidRPr="00CF35EE">
              <w:rPr>
                <w:rFonts w:ascii="Times New Roman" w:hAnsi="Times New Roman" w:cs="Times New Roman"/>
                <w:color w:val="000000" w:themeColor="text1"/>
              </w:rPr>
              <w:t>RTO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(целевое время восстановления) / </w:t>
            </w:r>
            <w:r w:rsidRPr="00CF35EE">
              <w:rPr>
                <w:rFonts w:ascii="Times New Roman" w:hAnsi="Times New Roman" w:cs="Times New Roman"/>
                <w:color w:val="000000" w:themeColor="text1"/>
              </w:rPr>
              <w:t>RPO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(целевая точка восстановления), результаты тестирования, процедуры и стратегии отката из среды </w:t>
            </w:r>
            <w:r w:rsidRPr="00CF35EE">
              <w:rPr>
                <w:rFonts w:ascii="Times New Roman" w:hAnsi="Times New Roman" w:cs="Times New Roman"/>
                <w:color w:val="000000" w:themeColor="text1"/>
              </w:rPr>
              <w:t>DR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обратно в основную среду. 4.2 Процедуры резервного копирования и восстановления, включая графики, политики хранения, места хранения и доказательства тестирования. 4.3 Процедуры обеспечения непрерывности работы, гарантирующие бесперебойную работу центра мониторинга и списка исключений в переходные периоды. 5. Операционные процессы и процедуры</w:t>
            </w:r>
          </w:p>
          <w:p w14:paraId="24C1F4E7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5.1 Стандартные операционные процедуры (СОП) для всех операционных функций, включая сбор данных, мониторинг, отчетность, анализ событий, управление инцидентами, обнаружение мошенничества, интеграцию устройств, аутентификацию организатора и эскалацию. 5.2 Процедуры обслуживания клиентов и поддержки организаторов, включая соглашения об уровне обслуживания (</w:t>
            </w:r>
            <w:r w:rsidRPr="00CF35EE">
              <w:rPr>
                <w:rFonts w:ascii="Times New Roman" w:hAnsi="Times New Roman" w:cs="Times New Roman"/>
                <w:color w:val="000000" w:themeColor="text1"/>
              </w:rPr>
              <w:t>SLA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), рабочие процессы обработки запросов и шаблоны коммуникаций. 5.3 Процедуры управления инцидентами, включая обнаружение, классификацию, эскалацию, отчетность и рабочие процессы разрешения. 5.4 Процедуры управления изменениями, включая утверждения, документирование, тестирование и откат.</w:t>
            </w:r>
          </w:p>
          <w:p w14:paraId="3FDD0FFE" w14:textId="77777777" w:rsidR="00EE4FD7" w:rsidRPr="00CF35EE" w:rsidRDefault="00EE4FD7" w:rsidP="00EE4FD7">
            <w:pPr>
              <w:pStyle w:val="Default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  <w:p w14:paraId="1EBB6774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6. Организационная документация 6.1 Должностные инструкции для всех оперативных и технических должностей, связанных с центром </w:t>
            </w: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мониторинга. 6.2 Организационные схемы, включая роли, структуру команд и обязанности. 6.3 Требования к доступности ключевого персонала, включая сертификацию.</w:t>
            </w:r>
          </w:p>
        </w:tc>
      </w:tr>
      <w:tr w:rsidR="00EE4FD7" w:rsidRPr="006F319C" w14:paraId="1696174C" w14:textId="77777777" w:rsidTr="00BE5F5A">
        <w:trPr>
          <w:gridAfter w:val="1"/>
          <w:wAfter w:w="13" w:type="dxa"/>
          <w:trHeight w:val="103"/>
        </w:trPr>
        <w:tc>
          <w:tcPr>
            <w:tcW w:w="1333" w:type="dxa"/>
          </w:tcPr>
          <w:p w14:paraId="4647268E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101</w:t>
            </w:r>
          </w:p>
        </w:tc>
        <w:tc>
          <w:tcPr>
            <w:tcW w:w="8369" w:type="dxa"/>
          </w:tcPr>
          <w:p w14:paraId="329EF126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Количество внутренних и внешних пользователей и администраторов центра мониторинга не ограничивается лицензиями.</w:t>
            </w:r>
          </w:p>
        </w:tc>
      </w:tr>
      <w:tr w:rsidR="00EE4FD7" w:rsidRPr="006F319C" w14:paraId="5AFDFB2C" w14:textId="77777777" w:rsidTr="00BE5F5A">
        <w:trPr>
          <w:gridAfter w:val="1"/>
          <w:wAfter w:w="13" w:type="dxa"/>
          <w:trHeight w:val="103"/>
        </w:trPr>
        <w:tc>
          <w:tcPr>
            <w:tcW w:w="1333" w:type="dxa"/>
          </w:tcPr>
          <w:p w14:paraId="170885F2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102</w:t>
            </w:r>
          </w:p>
        </w:tc>
        <w:tc>
          <w:tcPr>
            <w:tcW w:w="8369" w:type="dxa"/>
            <w:vAlign w:val="center"/>
          </w:tcPr>
          <w:p w14:paraId="3D074565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Центр мониторинга будет оставаться в полностью рабочем состоянии в течение 12 месяцев после окончания действия контракта без необходимости приобретения дополнительных лицензий на программное обеспечение.</w:t>
            </w:r>
          </w:p>
        </w:tc>
      </w:tr>
      <w:tr w:rsidR="00EE4FD7" w:rsidRPr="006F319C" w14:paraId="76C4FD93" w14:textId="77777777" w:rsidTr="00BE5F5A">
        <w:trPr>
          <w:gridAfter w:val="1"/>
          <w:wAfter w:w="13" w:type="dxa"/>
          <w:trHeight w:val="103"/>
        </w:trPr>
        <w:tc>
          <w:tcPr>
            <w:tcW w:w="1333" w:type="dxa"/>
          </w:tcPr>
          <w:p w14:paraId="5C99ABC3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103</w:t>
            </w:r>
          </w:p>
        </w:tc>
        <w:tc>
          <w:tcPr>
            <w:tcW w:w="8369" w:type="dxa"/>
          </w:tcPr>
          <w:p w14:paraId="0E5F3D72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После передачи производственных, тестовых и разработческих сред, они будут функционировать в центре обработки данных, предоставленном Государственным комитетом по доходам Республики Армения (ГКР), с возможностью их переноса в другой центр обработки данных без внесения каких-либо изменений или модификаций в основное системное программное обеспечение.</w:t>
            </w:r>
          </w:p>
        </w:tc>
      </w:tr>
      <w:tr w:rsidR="00EE4FD7" w:rsidRPr="006F319C" w14:paraId="1672B481" w14:textId="77777777" w:rsidTr="00BE5F5A">
        <w:trPr>
          <w:gridAfter w:val="1"/>
          <w:wAfter w:w="13" w:type="dxa"/>
          <w:trHeight w:val="103"/>
        </w:trPr>
        <w:tc>
          <w:tcPr>
            <w:tcW w:w="1333" w:type="dxa"/>
          </w:tcPr>
          <w:p w14:paraId="7E40F552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104</w:t>
            </w:r>
          </w:p>
        </w:tc>
        <w:tc>
          <w:tcPr>
            <w:tcW w:w="8369" w:type="dxa"/>
            <w:vAlign w:val="center"/>
          </w:tcPr>
          <w:p w14:paraId="1D1053FC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Гарантийное обслуживание начнется после завершения передачи объекта заказчику.</w:t>
            </w:r>
          </w:p>
        </w:tc>
      </w:tr>
      <w:tr w:rsidR="00EE4FD7" w:rsidRPr="006F319C" w14:paraId="176F107F" w14:textId="77777777" w:rsidTr="00BE5F5A">
        <w:trPr>
          <w:gridAfter w:val="1"/>
          <w:wAfter w:w="13" w:type="dxa"/>
          <w:trHeight w:val="103"/>
        </w:trPr>
        <w:tc>
          <w:tcPr>
            <w:tcW w:w="1333" w:type="dxa"/>
          </w:tcPr>
          <w:p w14:paraId="4983770E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CF35EE">
              <w:rPr>
                <w:rFonts w:ascii="Times New Roman" w:hAnsi="Times New Roman" w:cs="Times New Roman"/>
                <w:bCs/>
                <w:color w:val="000000" w:themeColor="text1"/>
              </w:rPr>
              <w:t>105</w:t>
            </w:r>
          </w:p>
        </w:tc>
        <w:tc>
          <w:tcPr>
            <w:tcW w:w="8369" w:type="dxa"/>
            <w:vAlign w:val="center"/>
          </w:tcPr>
          <w:p w14:paraId="537B24C8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Поставщик услуг обеспечивает подключение игровых продуктов к центру мониторинга.</w:t>
            </w:r>
          </w:p>
          <w:p w14:paraId="363EFE8C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Поставщик услуг обеспечивает операторам доступ к информации о лицах, в отношении которых действуют ограничения на участие в играх в соответствии с применимым законодательством.</w:t>
            </w:r>
          </w:p>
          <w:p w14:paraId="29B81E4C" w14:textId="77777777" w:rsidR="00EE4FD7" w:rsidRPr="00CF35EE" w:rsidRDefault="00EE4FD7" w:rsidP="00EE4FD7">
            <w:pPr>
              <w:pStyle w:val="Default"/>
              <w:ind w:left="360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CF35EE">
              <w:rPr>
                <w:rFonts w:ascii="Times New Roman" w:hAnsi="Times New Roman" w:cs="Times New Roman"/>
                <w:color w:val="000000" w:themeColor="text1"/>
                <w:lang w:val="ru-RU"/>
              </w:rPr>
              <w:t>Если какие-либо технические требования связывают выполнение Поставщиком услуг своих обязательств, изложенных в настоящем документе, с третьей стороной или ее системами, Поставщик услуг обязуется приложить разумные усилия для обеспечения выполнения своих обязательств. В случае невыполнения третьей стороной своих обязательств в соответствии с законом, Поставщик услуг передает дело в Государственный налоговый комитет.</w:t>
            </w:r>
          </w:p>
        </w:tc>
      </w:tr>
    </w:tbl>
    <w:p w14:paraId="1AD8852C" w14:textId="77777777" w:rsidR="00EE4FD7" w:rsidRPr="00CF35EE" w:rsidRDefault="00EE4FD7" w:rsidP="00EE4FD7">
      <w:pPr>
        <w:pStyle w:val="Default"/>
        <w:ind w:left="360"/>
        <w:rPr>
          <w:rFonts w:ascii="Times New Roman" w:hAnsi="Times New Roman" w:cs="Times New Roman"/>
          <w:color w:val="000000" w:themeColor="text1"/>
          <w:lang w:val="ru-RU"/>
        </w:rPr>
      </w:pPr>
    </w:p>
    <w:p w14:paraId="486D451D" w14:textId="77777777" w:rsidR="00EE4FD7" w:rsidRPr="00CF35EE" w:rsidRDefault="00EE4FD7" w:rsidP="00447111">
      <w:pPr>
        <w:pStyle w:val="Default"/>
        <w:ind w:left="360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sectPr w:rsidR="00EE4FD7" w:rsidRPr="00CF35EE" w:rsidSect="00EE4FD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D9DECEB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599346E"/>
    <w:multiLevelType w:val="multilevel"/>
    <w:tmpl w:val="28383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53291"/>
    <w:multiLevelType w:val="multilevel"/>
    <w:tmpl w:val="5C300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4F613F"/>
    <w:multiLevelType w:val="hybridMultilevel"/>
    <w:tmpl w:val="A878AC2C"/>
    <w:lvl w:ilvl="0" w:tplc="A4C2207A">
      <w:start w:val="1"/>
      <w:numFmt w:val="bullet"/>
      <w:pStyle w:val="TableListBullet"/>
      <w:lvlText w:val="●"/>
      <w:lvlJc w:val="left"/>
      <w:pPr>
        <w:tabs>
          <w:tab w:val="num" w:pos="357"/>
        </w:tabs>
        <w:ind w:left="357" w:firstLine="0"/>
      </w:pPr>
      <w:rPr>
        <w:color w:val="auto"/>
        <w:position w:val="2"/>
        <w:sz w:val="16"/>
        <w:szCs w:val="16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261804">
      <w:numFmt w:val="bullet"/>
      <w:lvlText w:val="·"/>
      <w:lvlJc w:val="left"/>
      <w:pPr>
        <w:ind w:left="2415" w:hanging="615"/>
      </w:pPr>
      <w:rPr>
        <w:rFonts w:ascii="Arial" w:eastAsiaTheme="minorHAnsi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934BA"/>
    <w:multiLevelType w:val="multilevel"/>
    <w:tmpl w:val="1F44C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454878"/>
    <w:multiLevelType w:val="hybridMultilevel"/>
    <w:tmpl w:val="AE22CC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5D46F7"/>
    <w:multiLevelType w:val="multilevel"/>
    <w:tmpl w:val="76F86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2C965A1"/>
    <w:multiLevelType w:val="multilevel"/>
    <w:tmpl w:val="28CC7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D4773F"/>
    <w:multiLevelType w:val="hybridMultilevel"/>
    <w:tmpl w:val="08B0B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AB647F"/>
    <w:multiLevelType w:val="hybridMultilevel"/>
    <w:tmpl w:val="657CD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1950E2"/>
    <w:multiLevelType w:val="hybridMultilevel"/>
    <w:tmpl w:val="6B9CD75C"/>
    <w:lvl w:ilvl="0" w:tplc="04090001">
      <w:start w:val="1"/>
      <w:numFmt w:val="bullet"/>
      <w:lvlText w:val=""/>
      <w:lvlJc w:val="left"/>
      <w:pPr>
        <w:ind w:left="69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1" w:hanging="360"/>
      </w:pPr>
      <w:rPr>
        <w:rFonts w:ascii="Wingdings" w:hAnsi="Wingdings" w:hint="default"/>
      </w:rPr>
    </w:lvl>
  </w:abstractNum>
  <w:abstractNum w:abstractNumId="11" w15:restartNumberingAfterBreak="0">
    <w:nsid w:val="4F8C7860"/>
    <w:multiLevelType w:val="hybridMultilevel"/>
    <w:tmpl w:val="83B89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BE1227"/>
    <w:multiLevelType w:val="multilevel"/>
    <w:tmpl w:val="1D98D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CE7753"/>
    <w:multiLevelType w:val="multilevel"/>
    <w:tmpl w:val="0A98A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0F6993"/>
    <w:multiLevelType w:val="multilevel"/>
    <w:tmpl w:val="DB20D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9C6110"/>
    <w:multiLevelType w:val="multilevel"/>
    <w:tmpl w:val="BC989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3F2B5C"/>
    <w:multiLevelType w:val="multilevel"/>
    <w:tmpl w:val="28C80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6"/>
  </w:num>
  <w:num w:numId="4">
    <w:abstractNumId w:val="14"/>
  </w:num>
  <w:num w:numId="5">
    <w:abstractNumId w:val="4"/>
  </w:num>
  <w:num w:numId="6">
    <w:abstractNumId w:val="7"/>
  </w:num>
  <w:num w:numId="7">
    <w:abstractNumId w:val="1"/>
  </w:num>
  <w:num w:numId="8">
    <w:abstractNumId w:val="2"/>
  </w:num>
  <w:num w:numId="9">
    <w:abstractNumId w:val="12"/>
  </w:num>
  <w:num w:numId="10">
    <w:abstractNumId w:val="15"/>
  </w:num>
  <w:num w:numId="11">
    <w:abstractNumId w:val="13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0"/>
  </w:num>
  <w:num w:numId="23">
    <w:abstractNumId w:val="9"/>
  </w:num>
  <w:num w:numId="24">
    <w:abstractNumId w:val="11"/>
  </w:num>
  <w:num w:numId="25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183"/>
    <w:rsid w:val="0000498A"/>
    <w:rsid w:val="00014AE8"/>
    <w:rsid w:val="00026523"/>
    <w:rsid w:val="00032694"/>
    <w:rsid w:val="00032A40"/>
    <w:rsid w:val="0003450B"/>
    <w:rsid w:val="000421B5"/>
    <w:rsid w:val="0006053D"/>
    <w:rsid w:val="000670E4"/>
    <w:rsid w:val="000674F7"/>
    <w:rsid w:val="000720D0"/>
    <w:rsid w:val="00075887"/>
    <w:rsid w:val="00083154"/>
    <w:rsid w:val="00086CAA"/>
    <w:rsid w:val="00090C5C"/>
    <w:rsid w:val="000A362B"/>
    <w:rsid w:val="000C4875"/>
    <w:rsid w:val="000C5988"/>
    <w:rsid w:val="000C7D11"/>
    <w:rsid w:val="000F11F7"/>
    <w:rsid w:val="00102EE6"/>
    <w:rsid w:val="00116372"/>
    <w:rsid w:val="00116421"/>
    <w:rsid w:val="001244BF"/>
    <w:rsid w:val="001263C3"/>
    <w:rsid w:val="001414BB"/>
    <w:rsid w:val="00150332"/>
    <w:rsid w:val="00173759"/>
    <w:rsid w:val="00177098"/>
    <w:rsid w:val="00190931"/>
    <w:rsid w:val="001926F4"/>
    <w:rsid w:val="00197D99"/>
    <w:rsid w:val="001E6D85"/>
    <w:rsid w:val="00207632"/>
    <w:rsid w:val="00216B55"/>
    <w:rsid w:val="002221BA"/>
    <w:rsid w:val="00224E96"/>
    <w:rsid w:val="00225350"/>
    <w:rsid w:val="00242864"/>
    <w:rsid w:val="00243A7E"/>
    <w:rsid w:val="002445DD"/>
    <w:rsid w:val="002735D6"/>
    <w:rsid w:val="00274C04"/>
    <w:rsid w:val="00280D8C"/>
    <w:rsid w:val="00283341"/>
    <w:rsid w:val="00287757"/>
    <w:rsid w:val="00287AF8"/>
    <w:rsid w:val="002935A7"/>
    <w:rsid w:val="00296DB2"/>
    <w:rsid w:val="002A33DD"/>
    <w:rsid w:val="002A5D29"/>
    <w:rsid w:val="002B7C6C"/>
    <w:rsid w:val="002E3F02"/>
    <w:rsid w:val="002F1B35"/>
    <w:rsid w:val="002F56D9"/>
    <w:rsid w:val="00301FBB"/>
    <w:rsid w:val="0031212B"/>
    <w:rsid w:val="003135E2"/>
    <w:rsid w:val="00315A66"/>
    <w:rsid w:val="003208B4"/>
    <w:rsid w:val="0033298E"/>
    <w:rsid w:val="003354DA"/>
    <w:rsid w:val="003469B9"/>
    <w:rsid w:val="00350612"/>
    <w:rsid w:val="003531E4"/>
    <w:rsid w:val="00353B61"/>
    <w:rsid w:val="00361165"/>
    <w:rsid w:val="003672EB"/>
    <w:rsid w:val="00370FB8"/>
    <w:rsid w:val="00371F4B"/>
    <w:rsid w:val="00374722"/>
    <w:rsid w:val="003750D7"/>
    <w:rsid w:val="003820A9"/>
    <w:rsid w:val="00395E7D"/>
    <w:rsid w:val="003A3B95"/>
    <w:rsid w:val="003A5E2A"/>
    <w:rsid w:val="003B550F"/>
    <w:rsid w:val="003C2618"/>
    <w:rsid w:val="003C3BF9"/>
    <w:rsid w:val="003C5E05"/>
    <w:rsid w:val="003D3E1E"/>
    <w:rsid w:val="003D4A3D"/>
    <w:rsid w:val="003D53F8"/>
    <w:rsid w:val="003D5C0B"/>
    <w:rsid w:val="003F703A"/>
    <w:rsid w:val="003F77B0"/>
    <w:rsid w:val="003F7953"/>
    <w:rsid w:val="00401120"/>
    <w:rsid w:val="00407450"/>
    <w:rsid w:val="0041216C"/>
    <w:rsid w:val="00417C71"/>
    <w:rsid w:val="00420607"/>
    <w:rsid w:val="0042116E"/>
    <w:rsid w:val="00430576"/>
    <w:rsid w:val="00434066"/>
    <w:rsid w:val="004413F2"/>
    <w:rsid w:val="004464B9"/>
    <w:rsid w:val="00447111"/>
    <w:rsid w:val="00464E85"/>
    <w:rsid w:val="00471A7E"/>
    <w:rsid w:val="004770DB"/>
    <w:rsid w:val="004A46B2"/>
    <w:rsid w:val="004A63BB"/>
    <w:rsid w:val="004B689C"/>
    <w:rsid w:val="004C7D40"/>
    <w:rsid w:val="004D50E7"/>
    <w:rsid w:val="004D5D38"/>
    <w:rsid w:val="004D7CCE"/>
    <w:rsid w:val="004E35F4"/>
    <w:rsid w:val="004F5FE7"/>
    <w:rsid w:val="00501FE1"/>
    <w:rsid w:val="005171B5"/>
    <w:rsid w:val="00521C8C"/>
    <w:rsid w:val="00523117"/>
    <w:rsid w:val="00525D77"/>
    <w:rsid w:val="005445D5"/>
    <w:rsid w:val="00553055"/>
    <w:rsid w:val="00556740"/>
    <w:rsid w:val="00562736"/>
    <w:rsid w:val="00572960"/>
    <w:rsid w:val="00572BD1"/>
    <w:rsid w:val="005777CD"/>
    <w:rsid w:val="0058247A"/>
    <w:rsid w:val="005A1F0F"/>
    <w:rsid w:val="005A7416"/>
    <w:rsid w:val="005B01AD"/>
    <w:rsid w:val="005B2334"/>
    <w:rsid w:val="005B6C13"/>
    <w:rsid w:val="005C6183"/>
    <w:rsid w:val="005C663F"/>
    <w:rsid w:val="005C7441"/>
    <w:rsid w:val="005D51F6"/>
    <w:rsid w:val="005F4FB5"/>
    <w:rsid w:val="00602E07"/>
    <w:rsid w:val="0060334D"/>
    <w:rsid w:val="00606B99"/>
    <w:rsid w:val="00613E32"/>
    <w:rsid w:val="00634248"/>
    <w:rsid w:val="006358CA"/>
    <w:rsid w:val="00641EE6"/>
    <w:rsid w:val="006436B6"/>
    <w:rsid w:val="00651AC4"/>
    <w:rsid w:val="00651D34"/>
    <w:rsid w:val="006525B2"/>
    <w:rsid w:val="006612D3"/>
    <w:rsid w:val="00663CC6"/>
    <w:rsid w:val="00667230"/>
    <w:rsid w:val="00677668"/>
    <w:rsid w:val="00677813"/>
    <w:rsid w:val="00685088"/>
    <w:rsid w:val="006910EC"/>
    <w:rsid w:val="0069119C"/>
    <w:rsid w:val="00692332"/>
    <w:rsid w:val="006B18BF"/>
    <w:rsid w:val="006B30C1"/>
    <w:rsid w:val="006C241C"/>
    <w:rsid w:val="006D5AD6"/>
    <w:rsid w:val="006F319C"/>
    <w:rsid w:val="006F54BB"/>
    <w:rsid w:val="00711AFE"/>
    <w:rsid w:val="007163DF"/>
    <w:rsid w:val="00725E21"/>
    <w:rsid w:val="007264D0"/>
    <w:rsid w:val="007341FC"/>
    <w:rsid w:val="007451EA"/>
    <w:rsid w:val="0075623F"/>
    <w:rsid w:val="00763E8F"/>
    <w:rsid w:val="007829F6"/>
    <w:rsid w:val="00785479"/>
    <w:rsid w:val="007A69D4"/>
    <w:rsid w:val="007A69EF"/>
    <w:rsid w:val="007B476E"/>
    <w:rsid w:val="007C6F44"/>
    <w:rsid w:val="007D2027"/>
    <w:rsid w:val="007D37A3"/>
    <w:rsid w:val="007D5995"/>
    <w:rsid w:val="007E2DF9"/>
    <w:rsid w:val="007F29C6"/>
    <w:rsid w:val="00805BD9"/>
    <w:rsid w:val="00812FE2"/>
    <w:rsid w:val="00817220"/>
    <w:rsid w:val="00824F46"/>
    <w:rsid w:val="00824F85"/>
    <w:rsid w:val="008269B9"/>
    <w:rsid w:val="0083231B"/>
    <w:rsid w:val="008347B7"/>
    <w:rsid w:val="00837CFE"/>
    <w:rsid w:val="00840E7E"/>
    <w:rsid w:val="00844994"/>
    <w:rsid w:val="008503A9"/>
    <w:rsid w:val="00850846"/>
    <w:rsid w:val="0087350B"/>
    <w:rsid w:val="00881417"/>
    <w:rsid w:val="008842FE"/>
    <w:rsid w:val="008A198F"/>
    <w:rsid w:val="008A5C39"/>
    <w:rsid w:val="008A5C4A"/>
    <w:rsid w:val="008D1565"/>
    <w:rsid w:val="008D787E"/>
    <w:rsid w:val="008E5BAF"/>
    <w:rsid w:val="008F5795"/>
    <w:rsid w:val="0090291D"/>
    <w:rsid w:val="00903AC8"/>
    <w:rsid w:val="009049CF"/>
    <w:rsid w:val="009077A8"/>
    <w:rsid w:val="00913210"/>
    <w:rsid w:val="00915182"/>
    <w:rsid w:val="00921347"/>
    <w:rsid w:val="009319A1"/>
    <w:rsid w:val="00933E75"/>
    <w:rsid w:val="00935E8C"/>
    <w:rsid w:val="0093778C"/>
    <w:rsid w:val="0094039C"/>
    <w:rsid w:val="009612E5"/>
    <w:rsid w:val="00965F2A"/>
    <w:rsid w:val="00980092"/>
    <w:rsid w:val="0098744A"/>
    <w:rsid w:val="00995343"/>
    <w:rsid w:val="009A0BBB"/>
    <w:rsid w:val="009A186E"/>
    <w:rsid w:val="009A193B"/>
    <w:rsid w:val="009A26F7"/>
    <w:rsid w:val="009A4639"/>
    <w:rsid w:val="009B1338"/>
    <w:rsid w:val="009B1848"/>
    <w:rsid w:val="009B2B75"/>
    <w:rsid w:val="009B4170"/>
    <w:rsid w:val="009B7346"/>
    <w:rsid w:val="009E22DD"/>
    <w:rsid w:val="009F425E"/>
    <w:rsid w:val="009F55BB"/>
    <w:rsid w:val="009F68A9"/>
    <w:rsid w:val="00A02271"/>
    <w:rsid w:val="00A222D8"/>
    <w:rsid w:val="00A272F2"/>
    <w:rsid w:val="00A42EAF"/>
    <w:rsid w:val="00A506AA"/>
    <w:rsid w:val="00A545E0"/>
    <w:rsid w:val="00A61A1E"/>
    <w:rsid w:val="00A634DA"/>
    <w:rsid w:val="00A66A6E"/>
    <w:rsid w:val="00A67F93"/>
    <w:rsid w:val="00A81995"/>
    <w:rsid w:val="00AA4528"/>
    <w:rsid w:val="00AA5D64"/>
    <w:rsid w:val="00AA6329"/>
    <w:rsid w:val="00AB0538"/>
    <w:rsid w:val="00AB71AA"/>
    <w:rsid w:val="00AD0307"/>
    <w:rsid w:val="00AD0896"/>
    <w:rsid w:val="00AE112B"/>
    <w:rsid w:val="00AE28F4"/>
    <w:rsid w:val="00B008C3"/>
    <w:rsid w:val="00B13142"/>
    <w:rsid w:val="00B13D32"/>
    <w:rsid w:val="00B304A8"/>
    <w:rsid w:val="00B32DF8"/>
    <w:rsid w:val="00B37BA1"/>
    <w:rsid w:val="00B42407"/>
    <w:rsid w:val="00B46498"/>
    <w:rsid w:val="00B6521C"/>
    <w:rsid w:val="00B7366E"/>
    <w:rsid w:val="00B86144"/>
    <w:rsid w:val="00B86B8C"/>
    <w:rsid w:val="00BA62DB"/>
    <w:rsid w:val="00BE5F5A"/>
    <w:rsid w:val="00BF0DE0"/>
    <w:rsid w:val="00C01952"/>
    <w:rsid w:val="00C0243D"/>
    <w:rsid w:val="00C0438A"/>
    <w:rsid w:val="00C11770"/>
    <w:rsid w:val="00C1347C"/>
    <w:rsid w:val="00C17D5F"/>
    <w:rsid w:val="00C22568"/>
    <w:rsid w:val="00C22A5E"/>
    <w:rsid w:val="00C25B02"/>
    <w:rsid w:val="00C36E57"/>
    <w:rsid w:val="00C50B37"/>
    <w:rsid w:val="00C51C5C"/>
    <w:rsid w:val="00C53288"/>
    <w:rsid w:val="00C53617"/>
    <w:rsid w:val="00C56D66"/>
    <w:rsid w:val="00C57CA6"/>
    <w:rsid w:val="00C66F47"/>
    <w:rsid w:val="00C77B96"/>
    <w:rsid w:val="00C822E4"/>
    <w:rsid w:val="00C86ECA"/>
    <w:rsid w:val="00CA2F0C"/>
    <w:rsid w:val="00CB63A0"/>
    <w:rsid w:val="00CB7EFC"/>
    <w:rsid w:val="00CD0A29"/>
    <w:rsid w:val="00CD7ED2"/>
    <w:rsid w:val="00CF16C9"/>
    <w:rsid w:val="00CF35EE"/>
    <w:rsid w:val="00D02042"/>
    <w:rsid w:val="00D02EBF"/>
    <w:rsid w:val="00D04939"/>
    <w:rsid w:val="00D237A0"/>
    <w:rsid w:val="00D34860"/>
    <w:rsid w:val="00D36167"/>
    <w:rsid w:val="00D37C07"/>
    <w:rsid w:val="00D41E81"/>
    <w:rsid w:val="00D44964"/>
    <w:rsid w:val="00D46632"/>
    <w:rsid w:val="00D4733F"/>
    <w:rsid w:val="00D5590C"/>
    <w:rsid w:val="00D64704"/>
    <w:rsid w:val="00D65B19"/>
    <w:rsid w:val="00D703D3"/>
    <w:rsid w:val="00D80F11"/>
    <w:rsid w:val="00D83379"/>
    <w:rsid w:val="00D8460A"/>
    <w:rsid w:val="00D865F2"/>
    <w:rsid w:val="00D8755B"/>
    <w:rsid w:val="00D90594"/>
    <w:rsid w:val="00D93F43"/>
    <w:rsid w:val="00D95541"/>
    <w:rsid w:val="00DA1F43"/>
    <w:rsid w:val="00DA27BA"/>
    <w:rsid w:val="00DB310F"/>
    <w:rsid w:val="00DB3D37"/>
    <w:rsid w:val="00DB4316"/>
    <w:rsid w:val="00DB5090"/>
    <w:rsid w:val="00DB7C3E"/>
    <w:rsid w:val="00DC3236"/>
    <w:rsid w:val="00DD4003"/>
    <w:rsid w:val="00DE2347"/>
    <w:rsid w:val="00DE61A9"/>
    <w:rsid w:val="00E0473B"/>
    <w:rsid w:val="00E06277"/>
    <w:rsid w:val="00E06799"/>
    <w:rsid w:val="00E06895"/>
    <w:rsid w:val="00E07492"/>
    <w:rsid w:val="00E10AA9"/>
    <w:rsid w:val="00E15B14"/>
    <w:rsid w:val="00E2722E"/>
    <w:rsid w:val="00E30E69"/>
    <w:rsid w:val="00E604E4"/>
    <w:rsid w:val="00E6349F"/>
    <w:rsid w:val="00E67ECB"/>
    <w:rsid w:val="00E754D9"/>
    <w:rsid w:val="00E75825"/>
    <w:rsid w:val="00E83735"/>
    <w:rsid w:val="00E947B3"/>
    <w:rsid w:val="00E95ABC"/>
    <w:rsid w:val="00EA6E36"/>
    <w:rsid w:val="00EB7B34"/>
    <w:rsid w:val="00EB7D36"/>
    <w:rsid w:val="00EC7EF4"/>
    <w:rsid w:val="00ED1E1D"/>
    <w:rsid w:val="00EE110A"/>
    <w:rsid w:val="00EE4FD7"/>
    <w:rsid w:val="00EF363A"/>
    <w:rsid w:val="00F06727"/>
    <w:rsid w:val="00F06BF4"/>
    <w:rsid w:val="00F12607"/>
    <w:rsid w:val="00F146EB"/>
    <w:rsid w:val="00F16B6B"/>
    <w:rsid w:val="00F2168F"/>
    <w:rsid w:val="00F22A12"/>
    <w:rsid w:val="00F267F7"/>
    <w:rsid w:val="00F370DA"/>
    <w:rsid w:val="00F417E0"/>
    <w:rsid w:val="00F55FE7"/>
    <w:rsid w:val="00F66618"/>
    <w:rsid w:val="00F7037B"/>
    <w:rsid w:val="00F723E6"/>
    <w:rsid w:val="00F728E5"/>
    <w:rsid w:val="00F73288"/>
    <w:rsid w:val="00F74E3C"/>
    <w:rsid w:val="00F77EF0"/>
    <w:rsid w:val="00F9186F"/>
    <w:rsid w:val="00F94B5E"/>
    <w:rsid w:val="00FB42C8"/>
    <w:rsid w:val="00FB56C9"/>
    <w:rsid w:val="00FC012A"/>
    <w:rsid w:val="00FC25A2"/>
    <w:rsid w:val="00FD3AE9"/>
    <w:rsid w:val="00FE3723"/>
    <w:rsid w:val="00FE4FD7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51E35"/>
  <w15:chartTrackingRefBased/>
  <w15:docId w15:val="{3791E40E-FF1C-474B-A0DB-08A88F70A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61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61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61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61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61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1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1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1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1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1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61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C61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618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618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61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61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61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61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61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61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1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61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61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61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61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618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61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618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6183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5C6183"/>
    <w:pPr>
      <w:spacing w:after="0" w:line="240" w:lineRule="auto"/>
    </w:pPr>
  </w:style>
  <w:style w:type="paragraph" w:customStyle="1" w:styleId="Default">
    <w:name w:val="Default"/>
    <w:rsid w:val="005C61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character" w:styleId="Hyperlink">
    <w:name w:val="Hyperlink"/>
    <w:basedOn w:val="DefaultParagraphFont"/>
    <w:uiPriority w:val="99"/>
    <w:unhideWhenUsed/>
    <w:rsid w:val="0091321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321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E3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1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19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911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11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11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11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119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15B14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E15B14"/>
    <w:rPr>
      <w:b/>
      <w:bCs/>
    </w:rPr>
  </w:style>
  <w:style w:type="paragraph" w:styleId="NormalWeb">
    <w:name w:val="Normal (Web)"/>
    <w:basedOn w:val="Normal"/>
    <w:uiPriority w:val="99"/>
    <w:unhideWhenUsed/>
    <w:rsid w:val="00E15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ListNumber">
    <w:name w:val="List Number"/>
    <w:basedOn w:val="Normal"/>
    <w:uiPriority w:val="99"/>
    <w:unhideWhenUsed/>
    <w:rsid w:val="00711AFE"/>
    <w:pPr>
      <w:numPr>
        <w:numId w:val="1"/>
      </w:numPr>
      <w:spacing w:after="200" w:line="276" w:lineRule="auto"/>
      <w:contextualSpacing/>
    </w:pPr>
    <w:rPr>
      <w:rFonts w:eastAsiaTheme="minorEastAsia"/>
      <w:kern w:val="0"/>
      <w:sz w:val="22"/>
      <w:szCs w:val="22"/>
      <w14:ligatures w14:val="none"/>
    </w:rPr>
  </w:style>
  <w:style w:type="paragraph" w:customStyle="1" w:styleId="TableBodyTextNarrow">
    <w:name w:val="TableBodyText_Narrow"/>
    <w:basedOn w:val="Normal"/>
    <w:qFormat/>
    <w:rsid w:val="00711AFE"/>
    <w:pPr>
      <w:spacing w:before="60" w:after="60" w:line="276" w:lineRule="auto"/>
    </w:pPr>
    <w:rPr>
      <w:rFonts w:ascii="Arial Narrow" w:hAnsi="Arial Narrow" w:cs="System"/>
      <w:kern w:val="0"/>
      <w:sz w:val="22"/>
      <w:szCs w:val="22"/>
      <w:lang w:val="en-GB"/>
      <w14:ligatures w14:val="none"/>
    </w:rPr>
  </w:style>
  <w:style w:type="paragraph" w:customStyle="1" w:styleId="TableListBullet">
    <w:name w:val="TableListBullet"/>
    <w:basedOn w:val="BodyText"/>
    <w:qFormat/>
    <w:rsid w:val="00711AFE"/>
    <w:pPr>
      <w:numPr>
        <w:numId w:val="2"/>
      </w:numPr>
      <w:tabs>
        <w:tab w:val="clear" w:pos="357"/>
      </w:tabs>
      <w:spacing w:before="60" w:after="60" w:line="240" w:lineRule="auto"/>
      <w:ind w:left="360" w:hanging="360"/>
    </w:pPr>
    <w:rPr>
      <w:rFonts w:ascii="Arial" w:eastAsia="Constantia" w:hAnsi="Arial" w:cs="Arial"/>
      <w:kern w:val="0"/>
      <w:sz w:val="22"/>
      <w:szCs w:val="22"/>
      <w14:ligatures w14:val="none"/>
    </w:rPr>
  </w:style>
  <w:style w:type="paragraph" w:customStyle="1" w:styleId="TableListBulletNarrow">
    <w:name w:val="TableListBullet_Narrow"/>
    <w:basedOn w:val="TableListBullet"/>
    <w:qFormat/>
    <w:rsid w:val="00711AFE"/>
    <w:rPr>
      <w:rFonts w:ascii="Arial Narrow" w:hAnsi="Arial Narrow"/>
    </w:rPr>
  </w:style>
  <w:style w:type="paragraph" w:styleId="BodyText">
    <w:name w:val="Body Text"/>
    <w:basedOn w:val="Normal"/>
    <w:link w:val="BodyTextChar"/>
    <w:uiPriority w:val="99"/>
    <w:semiHidden/>
    <w:unhideWhenUsed/>
    <w:rsid w:val="00711AF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11AFE"/>
  </w:style>
  <w:style w:type="paragraph" w:customStyle="1" w:styleId="f6270c0d46151652default">
    <w:name w:val="f6270c0d46151652default"/>
    <w:basedOn w:val="Normal"/>
    <w:rsid w:val="0063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7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97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67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66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99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581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2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0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0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8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3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0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8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9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9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15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5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2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96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427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409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264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5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03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0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59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55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38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590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8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5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33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99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95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556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5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92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92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410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82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8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5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7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78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585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788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0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6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7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43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81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06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039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7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7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16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5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20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341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0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96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74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97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38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8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3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0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75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44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694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2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3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5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0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96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64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3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0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92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98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11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4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0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3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99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2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5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7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1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69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24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49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76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36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2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3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55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97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12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804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338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8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5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83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1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66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14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316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5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1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9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43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53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375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542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4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0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73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76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594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121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122DA-82A0-402F-87A6-42AC00E49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6736</Words>
  <Characters>38401</Characters>
  <Application>Microsoft Office Word</Application>
  <DocSecurity>0</DocSecurity>
  <Lines>320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RSI</dc:creator>
  <cp:keywords/>
  <dc:description/>
  <cp:lastModifiedBy>Mariana Udumyan</cp:lastModifiedBy>
  <cp:revision>11</cp:revision>
  <dcterms:created xsi:type="dcterms:W3CDTF">2026-04-13T08:57:00Z</dcterms:created>
  <dcterms:modified xsi:type="dcterms:W3CDTF">2026-04-13T12:46:00Z</dcterms:modified>
</cp:coreProperties>
</file>